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E7DAF" w14:textId="53908403" w:rsidR="00F374E2" w:rsidRPr="003F2354" w:rsidRDefault="006667A4" w:rsidP="00A00EB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A254CD7" wp14:editId="5E9E52FF">
            <wp:simplePos x="0" y="0"/>
            <wp:positionH relativeFrom="margin">
              <wp:posOffset>339</wp:posOffset>
            </wp:positionH>
            <wp:positionV relativeFrom="paragraph">
              <wp:posOffset>-358140</wp:posOffset>
            </wp:positionV>
            <wp:extent cx="2857500" cy="632535"/>
            <wp:effectExtent l="0" t="0" r="0" b="0"/>
            <wp:wrapNone/>
            <wp:docPr id="29" name="Imagem 29" descr="Uma imagem com texto, Tipo de letra, logótipo, Gráficos&#10;&#10;Os conteúdos gerados por IA poderão estar incorreto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m 29" descr="Uma imagem com texto, Tipo de letra, logótipo, Gráficos&#10;&#10;Os conteúdos gerados por IA poderão estar incorretos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32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FBED32" w14:textId="6D6FD1BF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 w14:textId="4C6ACCF0" w:rsidR="0001438B" w:rsidRDefault="00A00EBF" w:rsidP="00CE53EC">
      <w:pPr>
        <w:pStyle w:val="Cabealho"/>
        <w:spacing w:line="480" w:lineRule="auto"/>
      </w:pPr>
      <w:r>
        <w:rPr>
          <w:rFonts w:ascii="Arial" w:hAnsi="Arial" w:cs="Arial"/>
          <w:b/>
          <w:sz w:val="24"/>
          <w:szCs w:val="24"/>
        </w:rPr>
        <w:t>Informação</w:t>
      </w:r>
      <w:r w:rsidR="007453F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- P</w:t>
      </w:r>
      <w:r w:rsidR="0001438B">
        <w:rPr>
          <w:rFonts w:ascii="Arial" w:hAnsi="Arial" w:cs="Arial"/>
          <w:b/>
          <w:sz w:val="24"/>
          <w:szCs w:val="24"/>
        </w:rPr>
        <w:t xml:space="preserve">rova de </w:t>
      </w:r>
      <w:r w:rsidR="00FF6FF9">
        <w:rPr>
          <w:rFonts w:ascii="Arial" w:hAnsi="Arial" w:cs="Arial"/>
          <w:b/>
          <w:sz w:val="24"/>
          <w:szCs w:val="24"/>
        </w:rPr>
        <w:t>Ciências Naturais</w:t>
      </w:r>
      <w:r w:rsidR="0001438B">
        <w:rPr>
          <w:rFonts w:ascii="Arial" w:hAnsi="Arial" w:cs="Arial"/>
          <w:b/>
          <w:sz w:val="24"/>
          <w:szCs w:val="24"/>
        </w:rPr>
        <w:fldChar w:fldCharType="begin"/>
      </w:r>
      <w:r w:rsidR="0001438B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1438B">
        <w:rPr>
          <w:rFonts w:ascii="Arial" w:hAnsi="Arial" w:cs="Arial"/>
          <w:b/>
          <w:sz w:val="24"/>
          <w:szCs w:val="24"/>
        </w:rPr>
        <w:fldChar w:fldCharType="separate"/>
      </w:r>
    </w:p>
    <w:p w14:paraId="2FD2C780" w14:textId="66F414EE" w:rsidR="00D3585A" w:rsidRDefault="0001438B" w:rsidP="00121C1F">
      <w:pPr>
        <w:spacing w:after="0" w:line="480" w:lineRule="auto"/>
        <w:contextualSpacing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Código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FF6FF9">
        <w:rPr>
          <w:rFonts w:ascii="Arial" w:hAnsi="Arial" w:cs="Arial"/>
          <w:sz w:val="24"/>
          <w:szCs w:val="24"/>
        </w:rPr>
        <w:t>02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</w:p>
    <w:p w14:paraId="535AB278" w14:textId="77CF4EB3" w:rsidR="00CE53EC" w:rsidRDefault="00D3585A" w:rsidP="00CE53EC">
      <w:pPr>
        <w:pStyle w:val="Cabealho"/>
        <w:spacing w:line="480" w:lineRule="auto"/>
      </w:pPr>
      <w:r>
        <w:rPr>
          <w:rFonts w:ascii="Arial" w:hAnsi="Arial" w:cs="Arial"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301474" w:rsidRPr="00301474">
        <w:rPr>
          <w:rFonts w:ascii="Arial" w:hAnsi="Arial" w:cs="Arial"/>
          <w:bCs/>
          <w:sz w:val="24"/>
          <w:szCs w:val="24"/>
        </w:rPr>
        <w:t>2º Ciclo do Ensino Básico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Pr="007453F7" w:rsidRDefault="00CE53EC" w:rsidP="00CE53EC">
      <w:pPr>
        <w:spacing w:after="0" w:line="48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 w:rsidRPr="007453F7">
        <w:rPr>
          <w:rFonts w:ascii="Arial" w:hAnsi="Arial" w:cs="Arial"/>
          <w:sz w:val="24"/>
          <w:szCs w:val="24"/>
        </w:rPr>
        <w:fldChar w:fldCharType="begin"/>
      </w:r>
      <w:r w:rsidR="00D3585A" w:rsidRPr="007453F7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 w:rsidRPr="007453F7">
        <w:rPr>
          <w:rFonts w:ascii="Arial" w:hAnsi="Arial" w:cs="Arial"/>
          <w:sz w:val="24"/>
          <w:szCs w:val="24"/>
        </w:rPr>
        <w:fldChar w:fldCharType="separate"/>
      </w:r>
      <w:r w:rsidR="00A00EBF" w:rsidRPr="007453F7">
        <w:rPr>
          <w:rFonts w:ascii="Arial" w:hAnsi="Arial" w:cs="Arial"/>
          <w:sz w:val="24"/>
          <w:szCs w:val="24"/>
        </w:rPr>
        <w:t>Despacho Normativo n.º 2-A/2025</w:t>
      </w:r>
    </w:p>
    <w:p w14:paraId="45032105" w14:textId="6FEBE7AE" w:rsidR="00D3585A" w:rsidRPr="00121A91" w:rsidRDefault="00D3585A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7453F7"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2F6A396A" w14:textId="678481C4" w:rsidR="00AE2764" w:rsidRPr="00121A91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4FA9BA6" w14:textId="12C296A5" w:rsidR="00027C85" w:rsidRPr="00D3585A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6788CB6E" w14:textId="70325142" w:rsidR="00EC3E6D" w:rsidRDefault="00EC3E6D" w:rsidP="00EC3E6D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 prova de equivalência à frequência realiza-se a nível de escola e tem por referência</w:t>
      </w:r>
      <w:r w:rsidR="000D44B2">
        <w:rPr>
          <w:rFonts w:ascii="Arial" w:eastAsia="Calibri" w:hAnsi="Arial" w:cs="Arial"/>
          <w:sz w:val="24"/>
          <w:szCs w:val="24"/>
        </w:rPr>
        <w:t>s</w:t>
      </w:r>
      <w:r>
        <w:rPr>
          <w:rFonts w:ascii="Arial" w:eastAsia="Calibri" w:hAnsi="Arial" w:cs="Arial"/>
          <w:sz w:val="24"/>
          <w:szCs w:val="24"/>
        </w:rPr>
        <w:t xml:space="preserve"> o Perfil dos Alunos à Saída da Escolaridade Obrigatória e as Aprendizagens Essenciais, enquanto denominador curricular comum.</w:t>
      </w:r>
    </w:p>
    <w:p w14:paraId="6DDC0B73" w14:textId="7D79AB72" w:rsidR="006F4D50" w:rsidRDefault="00EC3E6D" w:rsidP="005A524E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 prova permite avaliar a aprendizagem passível de avaliação numa prova escrita de duração limitada, nos domínios do conhecimento, interpretação e compreensão científica.</w:t>
      </w:r>
      <w:r w:rsidR="005A524E">
        <w:rPr>
          <w:rFonts w:ascii="Arial" w:hAnsi="Arial" w:cs="Arial"/>
          <w:b/>
          <w:sz w:val="24"/>
          <w:szCs w:val="24"/>
        </w:rPr>
        <w:t xml:space="preserve"> </w:t>
      </w:r>
    </w:p>
    <w:p w14:paraId="5AAB4F7D" w14:textId="77777777" w:rsidR="005A524E" w:rsidRDefault="005A524E" w:rsidP="005A524E">
      <w:pPr>
        <w:jc w:val="both"/>
        <w:rPr>
          <w:rFonts w:ascii="Arial" w:hAnsi="Arial" w:cs="Arial"/>
          <w:b/>
          <w:sz w:val="24"/>
          <w:szCs w:val="24"/>
        </w:rPr>
      </w:pPr>
    </w:p>
    <w:p w14:paraId="1B50857F" w14:textId="1058AB41" w:rsidR="0055151F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5813AD80" w14:textId="77777777" w:rsidR="004C381A" w:rsidRDefault="004C381A" w:rsidP="004C381A">
      <w:pPr>
        <w:numPr>
          <w:ilvl w:val="0"/>
          <w:numId w:val="10"/>
        </w:numPr>
        <w:suppressAutoHyphens/>
        <w:ind w:left="709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Os alunos respondem no enunciado da prova. </w:t>
      </w:r>
    </w:p>
    <w:p w14:paraId="05F3E2B1" w14:textId="77777777" w:rsidR="004C381A" w:rsidRDefault="004C381A" w:rsidP="004C381A">
      <w:pPr>
        <w:numPr>
          <w:ilvl w:val="0"/>
          <w:numId w:val="10"/>
        </w:numPr>
        <w:suppressAutoHyphens/>
        <w:ind w:left="709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 prova está organizada por grupos de itens. </w:t>
      </w:r>
    </w:p>
    <w:p w14:paraId="784C55F2" w14:textId="77777777" w:rsidR="004C381A" w:rsidRDefault="004C381A" w:rsidP="004C381A">
      <w:pPr>
        <w:numPr>
          <w:ilvl w:val="0"/>
          <w:numId w:val="10"/>
        </w:numPr>
        <w:suppressAutoHyphens/>
        <w:ind w:left="709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 prova apresenta entre 20 </w:t>
      </w:r>
      <w:proofErr w:type="gramStart"/>
      <w:r>
        <w:rPr>
          <w:rFonts w:ascii="Arial" w:eastAsia="Calibri" w:hAnsi="Arial" w:cs="Arial"/>
          <w:sz w:val="24"/>
          <w:szCs w:val="24"/>
        </w:rPr>
        <w:t>a</w:t>
      </w:r>
      <w:proofErr w:type="gramEnd"/>
      <w:r>
        <w:rPr>
          <w:rFonts w:ascii="Arial" w:eastAsia="Calibri" w:hAnsi="Arial" w:cs="Arial"/>
          <w:sz w:val="24"/>
          <w:szCs w:val="24"/>
        </w:rPr>
        <w:t xml:space="preserve"> 40 itens.</w:t>
      </w:r>
    </w:p>
    <w:p w14:paraId="238A2737" w14:textId="3131D342" w:rsidR="004C381A" w:rsidRDefault="004C381A" w:rsidP="004C381A">
      <w:pPr>
        <w:numPr>
          <w:ilvl w:val="0"/>
          <w:numId w:val="10"/>
        </w:numPr>
        <w:suppressAutoHyphens/>
        <w:ind w:left="709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Os itens / grupos de itens podem ter como suporte um ou mais documentos como, por exemplo, textos, tabelas, gráficos, mapas, fotografias e esquemas. Os suportes textuais apresentam extensão variável, consistindo em pequenos excertos ou em documentos mais longos. </w:t>
      </w:r>
    </w:p>
    <w:p w14:paraId="060F3E07" w14:textId="7FFF3E9B" w:rsidR="004C381A" w:rsidRDefault="004C381A" w:rsidP="004C381A">
      <w:pPr>
        <w:numPr>
          <w:ilvl w:val="0"/>
          <w:numId w:val="10"/>
        </w:numPr>
        <w:suppressAutoHyphens/>
        <w:ind w:left="709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 prova reflete uma visão integradora e articulada dos diferentes conteúdos programáticos da disciplina. </w:t>
      </w:r>
    </w:p>
    <w:p w14:paraId="11CB4C3E" w14:textId="7E11B2DF" w:rsidR="004C381A" w:rsidRDefault="004C381A" w:rsidP="004C381A">
      <w:pPr>
        <w:numPr>
          <w:ilvl w:val="0"/>
          <w:numId w:val="10"/>
        </w:numPr>
        <w:suppressAutoHyphens/>
        <w:ind w:left="709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Alguns dos itens / grupos de itens podem envolver a mobilização de aprendizagens relativas a mais do que um dos domínios do Programa da disciplina.</w:t>
      </w:r>
    </w:p>
    <w:p w14:paraId="3F3894C1" w14:textId="77777777" w:rsidR="004C381A" w:rsidRDefault="004C381A" w:rsidP="004C381A">
      <w:pPr>
        <w:numPr>
          <w:ilvl w:val="0"/>
          <w:numId w:val="10"/>
        </w:numPr>
        <w:suppressAutoHyphens/>
        <w:ind w:left="709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 sequência dos itens pode não corresponder à sequência da apresentação dos domínios do Programa da disciplina. </w:t>
      </w:r>
    </w:p>
    <w:p w14:paraId="78AF8CB9" w14:textId="67EB215A" w:rsidR="004C381A" w:rsidRDefault="004C381A" w:rsidP="004C381A">
      <w:pPr>
        <w:numPr>
          <w:ilvl w:val="0"/>
          <w:numId w:val="10"/>
        </w:numPr>
        <w:suppressAutoHyphens/>
        <w:ind w:left="709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 cotação total da prova é de 100 pontos</w:t>
      </w:r>
      <w:r w:rsidR="00280D8F">
        <w:rPr>
          <w:rFonts w:ascii="Arial" w:eastAsia="Calibri" w:hAnsi="Arial" w:cs="Arial"/>
          <w:sz w:val="24"/>
          <w:szCs w:val="24"/>
        </w:rPr>
        <w:t>.</w:t>
      </w:r>
    </w:p>
    <w:p w14:paraId="01B68288" w14:textId="77777777" w:rsidR="004C381A" w:rsidRDefault="004C381A" w:rsidP="004C381A">
      <w:pPr>
        <w:ind w:left="709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45ED06BC" w14:textId="77777777" w:rsidR="007453F7" w:rsidRDefault="007453F7" w:rsidP="004C381A">
      <w:pPr>
        <w:rPr>
          <w:rFonts w:ascii="Arial" w:eastAsia="Calibri" w:hAnsi="Arial" w:cs="Arial"/>
          <w:sz w:val="24"/>
          <w:szCs w:val="24"/>
        </w:rPr>
      </w:pPr>
    </w:p>
    <w:p w14:paraId="51BA4F7B" w14:textId="3844E409" w:rsidR="004C381A" w:rsidRDefault="004C381A" w:rsidP="004C381A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 distribuição da cotação pelos domínios </w:t>
      </w:r>
      <w:r>
        <w:rPr>
          <w:rFonts w:ascii="Arial" w:eastAsia="Calibri" w:hAnsi="Arial" w:cs="Arial"/>
          <w:bCs/>
          <w:sz w:val="24"/>
          <w:szCs w:val="24"/>
        </w:rPr>
        <w:t>e subdomínios</w:t>
      </w:r>
      <w:r>
        <w:rPr>
          <w:rFonts w:ascii="Arial" w:eastAsia="Calibri" w:hAnsi="Arial" w:cs="Arial"/>
          <w:sz w:val="24"/>
          <w:szCs w:val="24"/>
        </w:rPr>
        <w:t xml:space="preserve"> apresenta-se no Quadro 1</w:t>
      </w:r>
      <w:r w:rsidR="00280D8F">
        <w:rPr>
          <w:rFonts w:ascii="Arial" w:eastAsia="Calibri" w:hAnsi="Arial" w:cs="Arial"/>
          <w:sz w:val="24"/>
          <w:szCs w:val="24"/>
        </w:rPr>
        <w:t>.</w:t>
      </w:r>
    </w:p>
    <w:p w14:paraId="29A982E0" w14:textId="77777777" w:rsidR="00DA6C74" w:rsidRDefault="004C381A" w:rsidP="004C381A">
      <w:pPr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</w:t>
      </w:r>
    </w:p>
    <w:p w14:paraId="7998A479" w14:textId="77777777" w:rsidR="008D757A" w:rsidRDefault="008D757A" w:rsidP="004C381A">
      <w:pPr>
        <w:rPr>
          <w:rFonts w:eastAsia="Calibri"/>
          <w:b/>
          <w:sz w:val="24"/>
          <w:szCs w:val="24"/>
        </w:rPr>
      </w:pPr>
    </w:p>
    <w:p w14:paraId="738804BD" w14:textId="036A8CD5" w:rsidR="004C381A" w:rsidRDefault="004C381A" w:rsidP="004C381A">
      <w:pPr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lastRenderedPageBreak/>
        <w:t xml:space="preserve"> Quadro 1 – </w:t>
      </w:r>
      <w:r>
        <w:rPr>
          <w:rFonts w:eastAsia="Calibri"/>
          <w:b/>
          <w:bCs/>
          <w:sz w:val="24"/>
          <w:szCs w:val="24"/>
        </w:rPr>
        <w:t xml:space="preserve">Valorização dos domínios e subdomínios </w:t>
      </w:r>
      <w:r>
        <w:rPr>
          <w:rFonts w:eastAsia="Calibri"/>
          <w:sz w:val="24"/>
          <w:szCs w:val="24"/>
        </w:rPr>
        <w:t xml:space="preserve"> </w:t>
      </w:r>
    </w:p>
    <w:tbl>
      <w:tblPr>
        <w:tblW w:w="8897" w:type="dxa"/>
        <w:jc w:val="center"/>
        <w:tblLayout w:type="fixed"/>
        <w:tblLook w:val="04A0" w:firstRow="1" w:lastRow="0" w:firstColumn="1" w:lastColumn="0" w:noHBand="0" w:noVBand="1"/>
      </w:tblPr>
      <w:tblGrid>
        <w:gridCol w:w="1243"/>
        <w:gridCol w:w="2834"/>
        <w:gridCol w:w="3402"/>
        <w:gridCol w:w="1418"/>
      </w:tblGrid>
      <w:tr w:rsidR="004C381A" w14:paraId="101739BC" w14:textId="77777777" w:rsidTr="005618B7">
        <w:trPr>
          <w:jc w:val="center"/>
        </w:trPr>
        <w:tc>
          <w:tcPr>
            <w:tcW w:w="4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ABC73" w14:textId="77777777" w:rsidR="004C381A" w:rsidRDefault="004C381A" w:rsidP="005618B7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DOMÍNIOS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C4FEF" w14:textId="77777777" w:rsidR="004C381A" w:rsidRDefault="004C381A" w:rsidP="005618B7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SUBDOMÍNIOS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35A97" w14:textId="77777777" w:rsidR="004C381A" w:rsidRDefault="004C381A" w:rsidP="005618B7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COTAÇÃO (em pontos)</w:t>
            </w:r>
          </w:p>
        </w:tc>
      </w:tr>
      <w:tr w:rsidR="004C381A" w14:paraId="32494EA1" w14:textId="77777777" w:rsidTr="005618B7">
        <w:trPr>
          <w:jc w:val="center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EA3D5" w14:textId="77777777" w:rsidR="004C381A" w:rsidRDefault="004C381A" w:rsidP="005618B7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5.º Ano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0079B" w14:textId="77777777" w:rsidR="004C381A" w:rsidRDefault="004C381A" w:rsidP="005618B7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- A ÁGUA, O AR, AS ROCHAS E O SOLO – MATERIAIS TERRESTRES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0AE5C" w14:textId="77777777" w:rsidR="004C381A" w:rsidRDefault="004C381A" w:rsidP="001E1299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176" w:hanging="176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A importância das rochas e do solo na manutenção da vida</w:t>
            </w:r>
          </w:p>
          <w:p w14:paraId="36CDCC39" w14:textId="77777777" w:rsidR="004C381A" w:rsidRDefault="004C381A" w:rsidP="001E1299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176" w:hanging="176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A importância da água para os seres vivos</w:t>
            </w:r>
          </w:p>
          <w:p w14:paraId="10208785" w14:textId="77777777" w:rsidR="004C381A" w:rsidRDefault="004C381A" w:rsidP="001E1299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176" w:hanging="176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A importância do ar para os seres vivos.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BA081" w14:textId="77777777" w:rsidR="004C381A" w:rsidRDefault="004C381A" w:rsidP="005618B7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 a 20</w:t>
            </w:r>
          </w:p>
        </w:tc>
      </w:tr>
      <w:tr w:rsidR="004C381A" w14:paraId="7D5D37AA" w14:textId="77777777" w:rsidTr="005618B7">
        <w:trPr>
          <w:jc w:val="center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A4131" w14:textId="77777777" w:rsidR="004C381A" w:rsidRDefault="004C381A" w:rsidP="005618B7">
            <w:pPr>
              <w:widowControl w:val="0"/>
              <w:rPr>
                <w:rFonts w:eastAsia="Calibri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3D250" w14:textId="77777777" w:rsidR="004C381A" w:rsidRDefault="004C381A" w:rsidP="005618B7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- DIVERSIDADE DE SERES VIVOS E SUAS INTERAÇÕES COM O MEIO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814E9" w14:textId="77777777" w:rsidR="004C381A" w:rsidRDefault="004C381A" w:rsidP="001E1299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176" w:hanging="142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Diversidade nos animais</w:t>
            </w:r>
          </w:p>
          <w:p w14:paraId="36B72448" w14:textId="77777777" w:rsidR="004C381A" w:rsidRDefault="004C381A" w:rsidP="001E1299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176" w:hanging="142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Diversidade nas plantas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7BEBE" w14:textId="77777777" w:rsidR="004C381A" w:rsidRDefault="004C381A" w:rsidP="005618B7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 a 30</w:t>
            </w:r>
          </w:p>
        </w:tc>
      </w:tr>
      <w:tr w:rsidR="004C381A" w14:paraId="25DF5804" w14:textId="77777777" w:rsidTr="005618B7">
        <w:trPr>
          <w:jc w:val="center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D813F" w14:textId="77777777" w:rsidR="004C381A" w:rsidRDefault="004C381A" w:rsidP="005618B7">
            <w:pPr>
              <w:widowControl w:val="0"/>
              <w:rPr>
                <w:rFonts w:eastAsia="Calibri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43DE7" w14:textId="77777777" w:rsidR="004C381A" w:rsidRDefault="004C381A" w:rsidP="005618B7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- UNIDADE NA DIVERSIDADE DE SERES VIVOS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7B60A" w14:textId="77777777" w:rsidR="004C381A" w:rsidRPr="00066440" w:rsidRDefault="004C381A" w:rsidP="001E1299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176" w:hanging="142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Célula – unidade básica de vida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F5F7F" w14:textId="77777777" w:rsidR="004C381A" w:rsidRDefault="004C381A" w:rsidP="005618B7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 a 15</w:t>
            </w:r>
          </w:p>
        </w:tc>
      </w:tr>
      <w:tr w:rsidR="004C381A" w14:paraId="32D7A017" w14:textId="77777777" w:rsidTr="005618B7">
        <w:trPr>
          <w:jc w:val="center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052DF" w14:textId="77777777" w:rsidR="004C381A" w:rsidRDefault="004C381A" w:rsidP="005618B7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6.º Ano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7D814" w14:textId="77777777" w:rsidR="004C381A" w:rsidRDefault="004C381A" w:rsidP="005618B7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- PROCESSOS VITAIS COMUNS AOS SERES VIVOS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95167" w14:textId="77777777" w:rsidR="004C381A" w:rsidRDefault="004C381A" w:rsidP="001E1299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176" w:hanging="142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Trocas nutricionais entre o organismo e o meio: nos animais</w:t>
            </w:r>
          </w:p>
          <w:p w14:paraId="7EE4C9F6" w14:textId="77777777" w:rsidR="004C381A" w:rsidRDefault="004C381A" w:rsidP="001E1299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176" w:hanging="142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Trocas nutricionais entre o organismo e o meio: nas plantas</w:t>
            </w:r>
          </w:p>
          <w:p w14:paraId="0E263837" w14:textId="77777777" w:rsidR="000B171E" w:rsidRDefault="004C381A" w:rsidP="001E1299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176" w:hanging="142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Transmissão de vida: reprodução no ser humano</w:t>
            </w:r>
          </w:p>
          <w:p w14:paraId="2A24D1A3" w14:textId="159BF34B" w:rsidR="004C381A" w:rsidRDefault="004C381A" w:rsidP="001E1299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176" w:hanging="142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Transmissão de vida: reprodução nas plantas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B2A03" w14:textId="77777777" w:rsidR="004C381A" w:rsidRDefault="004C381A" w:rsidP="005618B7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 a 40</w:t>
            </w:r>
          </w:p>
        </w:tc>
      </w:tr>
      <w:tr w:rsidR="004C381A" w14:paraId="4A3740EF" w14:textId="77777777" w:rsidTr="005618B7">
        <w:trPr>
          <w:jc w:val="center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55485" w14:textId="77777777" w:rsidR="004C381A" w:rsidRDefault="004C381A" w:rsidP="005618B7">
            <w:pPr>
              <w:widowControl w:val="0"/>
              <w:rPr>
                <w:rFonts w:eastAsia="Calibri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834B4" w14:textId="77777777" w:rsidR="004C381A" w:rsidRDefault="004C381A" w:rsidP="005618B7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- AGRESSÕES DO MEIO E INTEGRIDADE DO ORGANISMO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AB4AF" w14:textId="77777777" w:rsidR="004C381A" w:rsidRDefault="004C381A" w:rsidP="004C381A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176" w:hanging="142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Microrganismos</w:t>
            </w:r>
          </w:p>
          <w:p w14:paraId="6F726880" w14:textId="77777777" w:rsidR="004C381A" w:rsidRDefault="004C381A" w:rsidP="005618B7">
            <w:pPr>
              <w:widowControl w:val="0"/>
              <w:ind w:left="34"/>
              <w:contextualSpacing/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FE8EB" w14:textId="77777777" w:rsidR="004C381A" w:rsidRDefault="004C381A" w:rsidP="005618B7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 a 15</w:t>
            </w:r>
          </w:p>
        </w:tc>
      </w:tr>
    </w:tbl>
    <w:p w14:paraId="045271B4" w14:textId="77777777" w:rsidR="004C381A" w:rsidRDefault="004C381A" w:rsidP="004C381A">
      <w:pPr>
        <w:rPr>
          <w:rFonts w:eastAsia="Calibri"/>
          <w:b/>
          <w:sz w:val="24"/>
          <w:szCs w:val="24"/>
        </w:rPr>
      </w:pPr>
    </w:p>
    <w:p w14:paraId="6A984A3A" w14:textId="5ADBF921" w:rsidR="004C381A" w:rsidRPr="00DA6C74" w:rsidRDefault="004C381A" w:rsidP="004C381A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softHyphen/>
        <w:t>A tipologia de itens, o número de itens e a cotação por item</w:t>
      </w:r>
      <w:r w:rsidR="00BC69D5">
        <w:rPr>
          <w:rFonts w:ascii="Arial" w:eastAsia="Calibri" w:hAnsi="Arial" w:cs="Arial"/>
          <w:sz w:val="24"/>
          <w:szCs w:val="24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apresentam-se no Quadro 2.</w:t>
      </w:r>
    </w:p>
    <w:p w14:paraId="6F64864F" w14:textId="77777777" w:rsidR="004C381A" w:rsidRDefault="004C381A" w:rsidP="004C381A">
      <w:pPr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 Quadro 2 – Tipologia, número de itens e cotação </w:t>
      </w:r>
    </w:p>
    <w:tbl>
      <w:tblPr>
        <w:tblW w:w="8613" w:type="dxa"/>
        <w:jc w:val="center"/>
        <w:tblLayout w:type="fixed"/>
        <w:tblLook w:val="04A0" w:firstRow="1" w:lastRow="0" w:firstColumn="1" w:lastColumn="0" w:noHBand="0" w:noVBand="1"/>
      </w:tblPr>
      <w:tblGrid>
        <w:gridCol w:w="2236"/>
        <w:gridCol w:w="3119"/>
        <w:gridCol w:w="1166"/>
        <w:gridCol w:w="2092"/>
      </w:tblGrid>
      <w:tr w:rsidR="004C381A" w14:paraId="3DAB3817" w14:textId="77777777" w:rsidTr="005618B7">
        <w:trPr>
          <w:trHeight w:val="733"/>
          <w:jc w:val="center"/>
        </w:trPr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16C79" w14:textId="77777777" w:rsidR="004C381A" w:rsidRDefault="004C381A" w:rsidP="005618B7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Tipologia de itens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B4DD3" w14:textId="77777777" w:rsidR="004C381A" w:rsidRDefault="004C381A" w:rsidP="005618B7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Número de itens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578D7" w14:textId="77777777" w:rsidR="004C381A" w:rsidRDefault="004C381A" w:rsidP="005618B7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Cotação por item</w:t>
            </w:r>
          </w:p>
          <w:p w14:paraId="180973C6" w14:textId="77777777" w:rsidR="004C381A" w:rsidRDefault="004C381A" w:rsidP="005618B7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(em pontos)</w:t>
            </w:r>
          </w:p>
        </w:tc>
      </w:tr>
      <w:tr w:rsidR="004C381A" w14:paraId="58171874" w14:textId="77777777" w:rsidTr="005618B7">
        <w:trPr>
          <w:trHeight w:val="1481"/>
          <w:jc w:val="center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396EE" w14:textId="77777777" w:rsidR="004C381A" w:rsidRDefault="004C381A" w:rsidP="005618B7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Itens de seleção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21AB9" w14:textId="77777777" w:rsidR="004C381A" w:rsidRDefault="004C381A" w:rsidP="005618B7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Escolha múltipla</w:t>
            </w:r>
          </w:p>
          <w:p w14:paraId="52982B8F" w14:textId="77777777" w:rsidR="004C381A" w:rsidRDefault="004C381A" w:rsidP="005618B7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Associação/correspondência</w:t>
            </w:r>
          </w:p>
          <w:p w14:paraId="32CBECA2" w14:textId="77777777" w:rsidR="004C381A" w:rsidRDefault="004C381A" w:rsidP="005618B7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Ordenação</w:t>
            </w:r>
          </w:p>
          <w:p w14:paraId="5441DAF7" w14:textId="77777777" w:rsidR="004C381A" w:rsidRDefault="004C381A" w:rsidP="005618B7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Verdadeiro/Falso</w:t>
            </w:r>
          </w:p>
          <w:p w14:paraId="7D7A26F2" w14:textId="77777777" w:rsidR="004C381A" w:rsidRDefault="004C381A" w:rsidP="005618B7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Completamento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4FD5C" w14:textId="77777777" w:rsidR="004C381A" w:rsidRDefault="004C381A" w:rsidP="005618B7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 a 25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89E8B" w14:textId="77777777" w:rsidR="004C381A" w:rsidRDefault="004C381A" w:rsidP="005618B7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 a 5</w:t>
            </w:r>
          </w:p>
        </w:tc>
      </w:tr>
      <w:tr w:rsidR="004C381A" w14:paraId="4479893B" w14:textId="77777777" w:rsidTr="005618B7">
        <w:trPr>
          <w:trHeight w:val="1481"/>
          <w:jc w:val="center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211CE" w14:textId="77777777" w:rsidR="004C381A" w:rsidRDefault="004C381A" w:rsidP="005618B7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Itens de construção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1C263" w14:textId="77777777" w:rsidR="004C381A" w:rsidRDefault="004C381A" w:rsidP="005618B7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Resposta Curta</w:t>
            </w:r>
          </w:p>
          <w:p w14:paraId="16CB0C6F" w14:textId="77777777" w:rsidR="004C381A" w:rsidRDefault="004C381A" w:rsidP="005618B7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Resposta Restrita</w:t>
            </w:r>
          </w:p>
          <w:p w14:paraId="06A8C835" w14:textId="77777777" w:rsidR="004C381A" w:rsidRDefault="004C381A" w:rsidP="005618B7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Completamento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5507B" w14:textId="77777777" w:rsidR="004C381A" w:rsidRDefault="004C381A" w:rsidP="005618B7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 a 25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D2D24" w14:textId="77777777" w:rsidR="004C381A" w:rsidRDefault="004C381A" w:rsidP="005618B7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 a 5</w:t>
            </w:r>
          </w:p>
        </w:tc>
      </w:tr>
    </w:tbl>
    <w:p w14:paraId="62E984A7" w14:textId="75DE3F92" w:rsidR="00CE53EC" w:rsidRPr="0055151F" w:rsidRDefault="00CE53EC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224B7F54" w14:textId="77777777" w:rsidR="00410F74" w:rsidRDefault="00410F74" w:rsidP="00410F74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 classificação a atribuir a cada resposta resulta da aplicação dos critérios gerais e dos critérios específicos de classificação apresentados para cada item e é expressa por um número inteiro, previsto na grelha de classificação.</w:t>
      </w:r>
    </w:p>
    <w:p w14:paraId="45606CFE" w14:textId="77777777" w:rsidR="00410F74" w:rsidRDefault="00410F74" w:rsidP="00410F74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As respostas ilegíveis ou que não possam ser claramente identificadas são classificadas com zero pontos. </w:t>
      </w:r>
    </w:p>
    <w:p w14:paraId="1F421DF3" w14:textId="77777777" w:rsidR="00410F74" w:rsidRDefault="00410F74" w:rsidP="00410F74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Se o aluno responder a um mesmo item mais do que uma vez, não eliminando inequivocamente a(s) resposta(s) que não deseja que seja(m) classificada(s), deve ser considerada apenas a resposta que surgir em primeiro lugar.</w:t>
      </w:r>
    </w:p>
    <w:p w14:paraId="438FCC90" w14:textId="25BB5E5D" w:rsidR="00410F74" w:rsidRDefault="00410F74" w:rsidP="00410F74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Se na resposta, a qualquer questão, o aluno utilizar dados incorretos obtidos na resolução de questões anteriores, não haverá penalização na cotação a atribuir.</w:t>
      </w:r>
    </w:p>
    <w:p w14:paraId="7EA77C10" w14:textId="77777777" w:rsidR="00410F74" w:rsidRDefault="00410F74" w:rsidP="00410F74">
      <w:pPr>
        <w:jc w:val="both"/>
        <w:rPr>
          <w:rFonts w:ascii="Arial" w:eastAsia="Calibri" w:hAnsi="Arial" w:cs="Arial"/>
          <w:sz w:val="24"/>
          <w:szCs w:val="24"/>
        </w:rPr>
      </w:pPr>
    </w:p>
    <w:p w14:paraId="7A4F6426" w14:textId="77777777" w:rsidR="00410F74" w:rsidRDefault="00410F74" w:rsidP="00410F74">
      <w:pPr>
        <w:ind w:left="20" w:right="-25"/>
        <w:jc w:val="both"/>
        <w:rPr>
          <w:rFonts w:ascii="Arial" w:eastAsia="Trebuchet MS" w:hAnsi="Arial" w:cs="Arial"/>
          <w:b/>
          <w:spacing w:val="2"/>
          <w:sz w:val="24"/>
          <w:szCs w:val="24"/>
          <w:u w:val="single"/>
        </w:rPr>
      </w:pPr>
      <w:r>
        <w:rPr>
          <w:rFonts w:ascii="Arial" w:eastAsia="Trebuchet MS" w:hAnsi="Arial" w:cs="Arial"/>
          <w:b/>
          <w:spacing w:val="2"/>
          <w:sz w:val="24"/>
          <w:szCs w:val="24"/>
          <w:u w:val="single"/>
        </w:rPr>
        <w:t>ITENS DE SELEÇÃO</w:t>
      </w:r>
    </w:p>
    <w:p w14:paraId="52C20D33" w14:textId="77777777" w:rsidR="00410F74" w:rsidRDefault="00410F74" w:rsidP="00410F74">
      <w:pPr>
        <w:ind w:left="23" w:right="-17"/>
        <w:jc w:val="both"/>
        <w:rPr>
          <w:rFonts w:ascii="Arial" w:eastAsia="Trebuchet MS" w:hAnsi="Arial" w:cs="Arial"/>
          <w:b/>
          <w:spacing w:val="2"/>
          <w:sz w:val="24"/>
          <w:szCs w:val="24"/>
        </w:rPr>
      </w:pPr>
      <w:r>
        <w:rPr>
          <w:rFonts w:ascii="Arial" w:eastAsia="Trebuchet MS" w:hAnsi="Arial" w:cs="Arial"/>
          <w:b/>
          <w:spacing w:val="2"/>
          <w:sz w:val="24"/>
          <w:szCs w:val="24"/>
        </w:rPr>
        <w:t xml:space="preserve"> Escolha múltipla</w:t>
      </w:r>
    </w:p>
    <w:p w14:paraId="7981400E" w14:textId="31F9F8FD" w:rsidR="00410F74" w:rsidRDefault="00410F74" w:rsidP="00410F74">
      <w:pPr>
        <w:ind w:left="23" w:right="-17"/>
        <w:jc w:val="both"/>
        <w:rPr>
          <w:rFonts w:ascii="Arial" w:eastAsia="Trebuchet MS" w:hAnsi="Arial" w:cs="Arial"/>
          <w:spacing w:val="2"/>
          <w:sz w:val="24"/>
          <w:szCs w:val="24"/>
        </w:rPr>
      </w:pPr>
      <w:r>
        <w:rPr>
          <w:rFonts w:ascii="Arial" w:eastAsia="Trebuchet MS" w:hAnsi="Arial" w:cs="Arial"/>
          <w:spacing w:val="2"/>
          <w:sz w:val="24"/>
          <w:szCs w:val="24"/>
        </w:rPr>
        <w:t>A cotação total do item é atribuída às respostas que apresentam</w:t>
      </w:r>
      <w:r w:rsidR="00A35CCB">
        <w:rPr>
          <w:rFonts w:ascii="Arial" w:eastAsia="Trebuchet MS" w:hAnsi="Arial" w:cs="Arial"/>
          <w:spacing w:val="2"/>
          <w:sz w:val="24"/>
          <w:szCs w:val="24"/>
        </w:rPr>
        <w:t>,</w:t>
      </w:r>
      <w:r>
        <w:rPr>
          <w:rFonts w:ascii="Arial" w:eastAsia="Trebuchet MS" w:hAnsi="Arial" w:cs="Arial"/>
          <w:spacing w:val="2"/>
          <w:sz w:val="24"/>
          <w:szCs w:val="24"/>
        </w:rPr>
        <w:t xml:space="preserve"> de forma inequívoca</w:t>
      </w:r>
      <w:r w:rsidR="00A35CCB">
        <w:rPr>
          <w:rFonts w:ascii="Arial" w:eastAsia="Trebuchet MS" w:hAnsi="Arial" w:cs="Arial"/>
          <w:spacing w:val="2"/>
          <w:sz w:val="24"/>
          <w:szCs w:val="24"/>
        </w:rPr>
        <w:t>,</w:t>
      </w:r>
      <w:r>
        <w:rPr>
          <w:rFonts w:ascii="Arial" w:eastAsia="Trebuchet MS" w:hAnsi="Arial" w:cs="Arial"/>
          <w:spacing w:val="2"/>
          <w:sz w:val="24"/>
          <w:szCs w:val="24"/>
        </w:rPr>
        <w:t xml:space="preserve"> a única opção correta.</w:t>
      </w:r>
    </w:p>
    <w:p w14:paraId="6E8353D1" w14:textId="77777777" w:rsidR="00410F74" w:rsidRDefault="00410F74" w:rsidP="00410F74">
      <w:pPr>
        <w:spacing w:before="60"/>
        <w:ind w:left="23" w:right="-17"/>
        <w:jc w:val="both"/>
        <w:rPr>
          <w:rFonts w:ascii="Arial" w:eastAsia="Trebuchet MS" w:hAnsi="Arial" w:cs="Arial"/>
          <w:spacing w:val="2"/>
          <w:sz w:val="24"/>
          <w:szCs w:val="24"/>
        </w:rPr>
      </w:pPr>
      <w:r>
        <w:rPr>
          <w:rFonts w:ascii="Arial" w:eastAsia="Trebuchet MS" w:hAnsi="Arial" w:cs="Arial"/>
          <w:spacing w:val="2"/>
          <w:sz w:val="24"/>
          <w:szCs w:val="24"/>
        </w:rPr>
        <w:t>São classificadas com zero pontos as respostas em que é assinalada:</w:t>
      </w:r>
    </w:p>
    <w:p w14:paraId="3F336725" w14:textId="77777777" w:rsidR="00410F74" w:rsidRDefault="00410F74" w:rsidP="00410F74">
      <w:pPr>
        <w:ind w:left="567" w:right="-17" w:firstLine="142"/>
        <w:jc w:val="both"/>
        <w:rPr>
          <w:rFonts w:ascii="Arial" w:eastAsia="Trebuchet MS" w:hAnsi="Arial" w:cs="Arial"/>
          <w:spacing w:val="2"/>
          <w:sz w:val="24"/>
          <w:szCs w:val="24"/>
        </w:rPr>
      </w:pPr>
      <w:r>
        <w:rPr>
          <w:rFonts w:ascii="Arial" w:eastAsia="Trebuchet MS" w:hAnsi="Arial" w:cs="Arial"/>
          <w:spacing w:val="2"/>
          <w:sz w:val="24"/>
          <w:szCs w:val="24"/>
        </w:rPr>
        <w:t>• uma opção incorreta;</w:t>
      </w:r>
    </w:p>
    <w:p w14:paraId="3208D7C6" w14:textId="77777777" w:rsidR="00410F74" w:rsidRDefault="00410F74" w:rsidP="00410F74">
      <w:pPr>
        <w:ind w:left="567" w:right="-17" w:firstLine="142"/>
        <w:jc w:val="both"/>
        <w:rPr>
          <w:rFonts w:ascii="Arial" w:eastAsia="Trebuchet MS" w:hAnsi="Arial" w:cs="Arial"/>
          <w:spacing w:val="2"/>
          <w:sz w:val="24"/>
          <w:szCs w:val="24"/>
        </w:rPr>
      </w:pPr>
      <w:r>
        <w:rPr>
          <w:rFonts w:ascii="Arial" w:eastAsia="Trebuchet MS" w:hAnsi="Arial" w:cs="Arial"/>
          <w:spacing w:val="2"/>
          <w:sz w:val="24"/>
          <w:szCs w:val="24"/>
        </w:rPr>
        <w:t>• mais do que uma opção.</w:t>
      </w:r>
    </w:p>
    <w:p w14:paraId="0838E149" w14:textId="28E63E49" w:rsidR="00410F74" w:rsidRDefault="00410F74" w:rsidP="00167CFC">
      <w:pPr>
        <w:spacing w:before="60"/>
        <w:ind w:left="23" w:right="-1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Não há lugar a classificações intermédias.</w:t>
      </w:r>
    </w:p>
    <w:p w14:paraId="5037456B" w14:textId="77777777" w:rsidR="00167CFC" w:rsidRPr="00167CFC" w:rsidRDefault="00167CFC" w:rsidP="00167CFC">
      <w:pPr>
        <w:spacing w:before="60"/>
        <w:ind w:left="23" w:right="-17"/>
        <w:jc w:val="both"/>
        <w:rPr>
          <w:rFonts w:ascii="Arial" w:eastAsia="Calibri" w:hAnsi="Arial" w:cs="Arial"/>
          <w:sz w:val="4"/>
          <w:szCs w:val="4"/>
        </w:rPr>
      </w:pPr>
    </w:p>
    <w:p w14:paraId="09277262" w14:textId="77777777" w:rsidR="00410F74" w:rsidRDefault="00410F74" w:rsidP="00410F74">
      <w:pPr>
        <w:jc w:val="both"/>
        <w:rPr>
          <w:rFonts w:ascii="Arial" w:eastAsia="Trebuchet MS" w:hAnsi="Arial" w:cs="Arial"/>
          <w:b/>
          <w:spacing w:val="2"/>
          <w:sz w:val="24"/>
          <w:szCs w:val="24"/>
        </w:rPr>
      </w:pPr>
      <w:r>
        <w:rPr>
          <w:rFonts w:ascii="Arial" w:eastAsia="Trebuchet MS" w:hAnsi="Arial" w:cs="Arial"/>
          <w:b/>
          <w:spacing w:val="2"/>
          <w:sz w:val="24"/>
          <w:szCs w:val="24"/>
        </w:rPr>
        <w:t>Ordenação</w:t>
      </w:r>
    </w:p>
    <w:p w14:paraId="64DF0B09" w14:textId="497711F4" w:rsidR="00410F74" w:rsidRDefault="00410F74" w:rsidP="00167CFC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 cotação total do item só é atribuída às respostas em que a sequência esteja integralmente correta e completa.</w:t>
      </w:r>
    </w:p>
    <w:p w14:paraId="5BB736D4" w14:textId="77777777" w:rsidR="00410F74" w:rsidRDefault="00410F74" w:rsidP="00410F74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São classificadas com zero pontos as respostas em que:</w:t>
      </w:r>
    </w:p>
    <w:p w14:paraId="1EBF45B3" w14:textId="77777777" w:rsidR="00410F74" w:rsidRDefault="00410F74" w:rsidP="00410F74">
      <w:pPr>
        <w:numPr>
          <w:ilvl w:val="0"/>
          <w:numId w:val="11"/>
        </w:numPr>
        <w:suppressAutoHyphens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seja apresentada uma sequência incompleta;</w:t>
      </w:r>
    </w:p>
    <w:p w14:paraId="2AE19FF9" w14:textId="77777777" w:rsidR="00410F74" w:rsidRDefault="00410F74" w:rsidP="00410F74">
      <w:pPr>
        <w:numPr>
          <w:ilvl w:val="0"/>
          <w:numId w:val="11"/>
        </w:numPr>
        <w:suppressAutoHyphens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seja omitido qualquer um dos elementos da sequência solicitada.</w:t>
      </w:r>
    </w:p>
    <w:p w14:paraId="49227BCE" w14:textId="53FF8277" w:rsidR="00410F74" w:rsidRPr="00167CFC" w:rsidRDefault="00410F74" w:rsidP="00167CFC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Não há lugar a classificação intermédia.</w:t>
      </w:r>
    </w:p>
    <w:p w14:paraId="4AF46008" w14:textId="77777777" w:rsidR="00410F74" w:rsidRDefault="00410F74" w:rsidP="00410F74">
      <w:pPr>
        <w:jc w:val="both"/>
        <w:rPr>
          <w:rFonts w:ascii="Arial" w:eastAsia="Trebuchet MS" w:hAnsi="Arial" w:cs="Arial"/>
          <w:b/>
          <w:spacing w:val="2"/>
          <w:sz w:val="24"/>
          <w:szCs w:val="24"/>
        </w:rPr>
      </w:pPr>
      <w:r>
        <w:rPr>
          <w:rFonts w:ascii="Arial" w:eastAsia="Trebuchet MS" w:hAnsi="Arial" w:cs="Arial"/>
          <w:b/>
          <w:spacing w:val="2"/>
          <w:sz w:val="24"/>
          <w:szCs w:val="24"/>
        </w:rPr>
        <w:lastRenderedPageBreak/>
        <w:t xml:space="preserve"> Verdadeiro / Falso</w:t>
      </w:r>
    </w:p>
    <w:p w14:paraId="1C14F6B7" w14:textId="77777777" w:rsidR="00410F74" w:rsidRDefault="00410F74" w:rsidP="00410F74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É atribuída a cotação total à resposta correta, sendo as respostas incorretas cotadas com zero pontos.</w:t>
      </w:r>
    </w:p>
    <w:p w14:paraId="6B497BDB" w14:textId="77777777" w:rsidR="00410F74" w:rsidRDefault="00410F74" w:rsidP="00410F74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As respostas em que todas as afirmações sejam identificadas como verdadeiras ou como falsas são classificadas com zero pontos. </w:t>
      </w:r>
    </w:p>
    <w:p w14:paraId="7D21754B" w14:textId="77777777" w:rsidR="00410F74" w:rsidRPr="004C1CBA" w:rsidRDefault="00410F74" w:rsidP="00410F74">
      <w:pPr>
        <w:jc w:val="both"/>
        <w:rPr>
          <w:rFonts w:ascii="Arial" w:eastAsia="Trebuchet MS" w:hAnsi="Arial" w:cs="Arial"/>
          <w:spacing w:val="2"/>
          <w:sz w:val="10"/>
          <w:szCs w:val="10"/>
        </w:rPr>
      </w:pPr>
    </w:p>
    <w:p w14:paraId="079DBE74" w14:textId="77777777" w:rsidR="00410F74" w:rsidRDefault="00410F74" w:rsidP="00410F74">
      <w:pPr>
        <w:ind w:left="23" w:right="-17"/>
        <w:jc w:val="both"/>
        <w:rPr>
          <w:rFonts w:ascii="Arial" w:eastAsia="Trebuchet MS" w:hAnsi="Arial" w:cs="Arial"/>
          <w:b/>
          <w:spacing w:val="2"/>
          <w:sz w:val="24"/>
          <w:szCs w:val="24"/>
        </w:rPr>
      </w:pPr>
      <w:r>
        <w:rPr>
          <w:rFonts w:ascii="Arial" w:eastAsia="Trebuchet MS" w:hAnsi="Arial" w:cs="Arial"/>
          <w:b/>
          <w:spacing w:val="2"/>
          <w:sz w:val="24"/>
          <w:szCs w:val="24"/>
        </w:rPr>
        <w:t>Associação / Correspondência</w:t>
      </w:r>
    </w:p>
    <w:p w14:paraId="1D19DC0A" w14:textId="150C85FD" w:rsidR="00410F74" w:rsidRDefault="00410F74" w:rsidP="00410F74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 cotação total do item é atribuída às respostas que apresentem, de forma inequívoca, a única associação/correspondência integralmente correta e completa. </w:t>
      </w:r>
    </w:p>
    <w:p w14:paraId="041B35BE" w14:textId="77777777" w:rsidR="00410F74" w:rsidRDefault="00410F74" w:rsidP="00410F74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São classificadas com zero pontos as respostas em que seja assinalada: </w:t>
      </w:r>
    </w:p>
    <w:p w14:paraId="22E95FCA" w14:textId="77777777" w:rsidR="00410F74" w:rsidRDefault="00410F74" w:rsidP="00410F74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– </w:t>
      </w:r>
      <w:proofErr w:type="gramStart"/>
      <w:r>
        <w:rPr>
          <w:rFonts w:ascii="Arial" w:eastAsia="Calibri" w:hAnsi="Arial" w:cs="Arial"/>
          <w:sz w:val="24"/>
          <w:szCs w:val="24"/>
        </w:rPr>
        <w:t>uma</w:t>
      </w:r>
      <w:proofErr w:type="gramEnd"/>
      <w:r>
        <w:rPr>
          <w:rFonts w:ascii="Arial" w:eastAsia="Calibri" w:hAnsi="Arial" w:cs="Arial"/>
          <w:sz w:val="24"/>
          <w:szCs w:val="24"/>
        </w:rPr>
        <w:t xml:space="preserve"> associação/correspondência incorreta; </w:t>
      </w:r>
    </w:p>
    <w:p w14:paraId="6E0C90D6" w14:textId="77777777" w:rsidR="00410F74" w:rsidRDefault="00410F74" w:rsidP="00410F74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– </w:t>
      </w:r>
      <w:proofErr w:type="gramStart"/>
      <w:r>
        <w:rPr>
          <w:rFonts w:ascii="Arial" w:eastAsia="Calibri" w:hAnsi="Arial" w:cs="Arial"/>
          <w:sz w:val="24"/>
          <w:szCs w:val="24"/>
        </w:rPr>
        <w:t>uma</w:t>
      </w:r>
      <w:proofErr w:type="gramEnd"/>
      <w:r>
        <w:rPr>
          <w:rFonts w:ascii="Arial" w:eastAsia="Calibri" w:hAnsi="Arial" w:cs="Arial"/>
          <w:sz w:val="24"/>
          <w:szCs w:val="24"/>
        </w:rPr>
        <w:t xml:space="preserve"> associação/correspondência incompleta.</w:t>
      </w:r>
    </w:p>
    <w:p w14:paraId="731D5461" w14:textId="77777777" w:rsidR="00410F74" w:rsidRPr="00496D3A" w:rsidRDefault="00410F74" w:rsidP="00410F74">
      <w:pPr>
        <w:rPr>
          <w:rFonts w:ascii="Arial" w:eastAsia="Calibri" w:hAnsi="Arial" w:cs="Arial"/>
          <w:color w:val="FF0000"/>
          <w:sz w:val="10"/>
          <w:szCs w:val="10"/>
        </w:rPr>
      </w:pPr>
    </w:p>
    <w:p w14:paraId="473B0A25" w14:textId="77777777" w:rsidR="00410F74" w:rsidRDefault="00410F74" w:rsidP="00410F74">
      <w:pPr>
        <w:jc w:val="both"/>
        <w:rPr>
          <w:rFonts w:ascii="Arial" w:eastAsia="Trebuchet MS" w:hAnsi="Arial" w:cs="Arial"/>
          <w:b/>
          <w:spacing w:val="2"/>
          <w:sz w:val="24"/>
          <w:szCs w:val="24"/>
        </w:rPr>
      </w:pPr>
      <w:r>
        <w:rPr>
          <w:rFonts w:ascii="Arial" w:eastAsia="Trebuchet MS" w:hAnsi="Arial" w:cs="Arial"/>
          <w:b/>
          <w:spacing w:val="2"/>
          <w:sz w:val="24"/>
          <w:szCs w:val="24"/>
        </w:rPr>
        <w:t>Completamento</w:t>
      </w:r>
    </w:p>
    <w:p w14:paraId="3F00FF7D" w14:textId="77777777" w:rsidR="00410F74" w:rsidRDefault="00410F74" w:rsidP="00410F74">
      <w:pPr>
        <w:jc w:val="both"/>
        <w:rPr>
          <w:rFonts w:ascii="Arial" w:eastAsia="Trebuchet MS" w:hAnsi="Arial" w:cs="Arial"/>
          <w:spacing w:val="2"/>
          <w:sz w:val="24"/>
          <w:szCs w:val="24"/>
        </w:rPr>
      </w:pPr>
      <w:r>
        <w:rPr>
          <w:rFonts w:ascii="Arial" w:eastAsia="Trebuchet MS" w:hAnsi="Arial" w:cs="Arial"/>
          <w:spacing w:val="2"/>
          <w:sz w:val="24"/>
          <w:szCs w:val="24"/>
        </w:rPr>
        <w:t>A cotação de cada item só é atribuída às respostas corretas. Todas as outras respostas serão classificadas com zero pontos.</w:t>
      </w:r>
    </w:p>
    <w:p w14:paraId="24563448" w14:textId="77777777" w:rsidR="00410F74" w:rsidRPr="003200D7" w:rsidRDefault="00410F74" w:rsidP="00410F74">
      <w:pPr>
        <w:rPr>
          <w:rFonts w:ascii="Arial" w:eastAsia="Calibri" w:hAnsi="Arial" w:cs="Arial"/>
          <w:color w:val="FF0000"/>
          <w:sz w:val="10"/>
          <w:szCs w:val="10"/>
        </w:rPr>
      </w:pPr>
    </w:p>
    <w:p w14:paraId="1A2067C7" w14:textId="77777777" w:rsidR="00410F74" w:rsidRDefault="00410F74" w:rsidP="00410F74">
      <w:pPr>
        <w:ind w:left="20" w:right="-25"/>
        <w:jc w:val="both"/>
        <w:rPr>
          <w:rFonts w:ascii="Arial" w:eastAsia="Trebuchet MS" w:hAnsi="Arial" w:cs="Arial"/>
          <w:b/>
          <w:spacing w:val="2"/>
          <w:sz w:val="24"/>
          <w:szCs w:val="24"/>
          <w:u w:val="single"/>
        </w:rPr>
      </w:pPr>
      <w:r>
        <w:rPr>
          <w:rFonts w:ascii="Arial" w:eastAsia="Trebuchet MS" w:hAnsi="Arial" w:cs="Arial"/>
          <w:b/>
          <w:spacing w:val="2"/>
          <w:sz w:val="24"/>
          <w:szCs w:val="24"/>
          <w:u w:val="single"/>
        </w:rPr>
        <w:t>ITENS DE CONSTRUÇÃO</w:t>
      </w:r>
    </w:p>
    <w:p w14:paraId="683A0AEB" w14:textId="77777777" w:rsidR="00410F74" w:rsidRDefault="00410F74" w:rsidP="00410F74">
      <w:pPr>
        <w:ind w:left="20"/>
        <w:jc w:val="both"/>
        <w:rPr>
          <w:rFonts w:ascii="Arial" w:eastAsia="Trebuchet MS" w:hAnsi="Arial" w:cs="Arial"/>
          <w:b/>
          <w:spacing w:val="2"/>
          <w:sz w:val="24"/>
          <w:szCs w:val="24"/>
        </w:rPr>
      </w:pPr>
      <w:r>
        <w:rPr>
          <w:rFonts w:ascii="Arial" w:eastAsia="Trebuchet MS" w:hAnsi="Arial" w:cs="Arial"/>
          <w:b/>
          <w:spacing w:val="2"/>
          <w:sz w:val="24"/>
          <w:szCs w:val="24"/>
        </w:rPr>
        <w:t xml:space="preserve">   Resposta curta</w:t>
      </w:r>
    </w:p>
    <w:p w14:paraId="15C1BA1B" w14:textId="39E23CD8" w:rsidR="00410F74" w:rsidRDefault="00410F74" w:rsidP="00410F74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Caso a resposta contenha elementos que excedam o solicitado, só são considerados, para efeito da classificação, os elementos que satisfaçam o que é pedido</w:t>
      </w:r>
      <w:r w:rsidR="00182316">
        <w:rPr>
          <w:rFonts w:ascii="Arial" w:eastAsia="Calibri" w:hAnsi="Arial" w:cs="Arial"/>
          <w:sz w:val="24"/>
          <w:szCs w:val="24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segundo a ordem pela qual são apresentados na resposta. Porém, se os elementos referidos revelarem uma contradição entre si, a cotação a atribuir é zero pontos.</w:t>
      </w:r>
    </w:p>
    <w:p w14:paraId="03E6BE50" w14:textId="77777777" w:rsidR="00410F74" w:rsidRDefault="00410F74" w:rsidP="00410F74">
      <w:pPr>
        <w:jc w:val="both"/>
        <w:rPr>
          <w:rFonts w:ascii="Arial" w:eastAsia="Trebuchet MS" w:hAnsi="Arial" w:cs="Arial"/>
          <w:b/>
          <w:spacing w:val="2"/>
          <w:sz w:val="24"/>
          <w:szCs w:val="24"/>
        </w:rPr>
      </w:pPr>
    </w:p>
    <w:p w14:paraId="461FBDBB" w14:textId="77777777" w:rsidR="00410F74" w:rsidRDefault="00410F74" w:rsidP="00410F74">
      <w:pPr>
        <w:jc w:val="both"/>
        <w:rPr>
          <w:rFonts w:ascii="Arial" w:eastAsia="Trebuchet MS" w:hAnsi="Arial" w:cs="Arial"/>
          <w:b/>
          <w:spacing w:val="2"/>
          <w:sz w:val="24"/>
          <w:szCs w:val="24"/>
        </w:rPr>
      </w:pPr>
      <w:r>
        <w:rPr>
          <w:rFonts w:ascii="Arial" w:eastAsia="Trebuchet MS" w:hAnsi="Arial" w:cs="Arial"/>
          <w:b/>
          <w:spacing w:val="2"/>
          <w:sz w:val="24"/>
          <w:szCs w:val="24"/>
        </w:rPr>
        <w:t xml:space="preserve"> Resposta restrita</w:t>
      </w:r>
    </w:p>
    <w:p w14:paraId="4ABE9164" w14:textId="77777777" w:rsidR="00410F74" w:rsidRDefault="00410F74" w:rsidP="00410F74">
      <w:pPr>
        <w:ind w:left="20" w:right="-18"/>
        <w:jc w:val="both"/>
        <w:rPr>
          <w:rFonts w:ascii="Arial" w:eastAsia="Trebuchet MS" w:hAnsi="Arial" w:cs="Arial"/>
          <w:spacing w:val="2"/>
          <w:sz w:val="24"/>
          <w:szCs w:val="24"/>
        </w:rPr>
      </w:pPr>
      <w:r>
        <w:rPr>
          <w:rFonts w:ascii="Arial" w:eastAsia="Trebuchet MS" w:hAnsi="Arial" w:cs="Arial"/>
          <w:spacing w:val="2"/>
          <w:sz w:val="24"/>
          <w:szCs w:val="24"/>
        </w:rPr>
        <w:t>Os critérios de classificação das respostas aos itens de resposta restrita apresentam-se organizados por níveis de desempenho. A cada nível de desempenho corresponde uma dada pontuação.</w:t>
      </w:r>
    </w:p>
    <w:p w14:paraId="0BDC76BC" w14:textId="459A8C1C" w:rsidR="00410F74" w:rsidRDefault="00410F74" w:rsidP="00410F74">
      <w:pPr>
        <w:spacing w:before="120"/>
        <w:jc w:val="both"/>
        <w:rPr>
          <w:rFonts w:ascii="Arial" w:eastAsia="Trebuchet MS" w:hAnsi="Arial" w:cs="Arial"/>
          <w:spacing w:val="2"/>
          <w:sz w:val="24"/>
          <w:szCs w:val="24"/>
        </w:rPr>
      </w:pPr>
      <w:r>
        <w:rPr>
          <w:rFonts w:ascii="Arial" w:eastAsia="Trebuchet MS" w:hAnsi="Arial" w:cs="Arial"/>
          <w:spacing w:val="2"/>
          <w:sz w:val="24"/>
          <w:szCs w:val="24"/>
        </w:rPr>
        <w:t>É classificada com zero pontos qualquer resposta que</w:t>
      </w:r>
      <w:r w:rsidR="00FD48A2">
        <w:rPr>
          <w:rFonts w:ascii="Arial" w:eastAsia="Trebuchet MS" w:hAnsi="Arial" w:cs="Arial"/>
          <w:spacing w:val="2"/>
          <w:sz w:val="24"/>
          <w:szCs w:val="24"/>
        </w:rPr>
        <w:t>,</w:t>
      </w:r>
      <w:r>
        <w:rPr>
          <w:rFonts w:ascii="Arial" w:eastAsia="Trebuchet MS" w:hAnsi="Arial" w:cs="Arial"/>
          <w:spacing w:val="2"/>
          <w:sz w:val="24"/>
          <w:szCs w:val="24"/>
        </w:rPr>
        <w:t xml:space="preserve"> pela sua composição</w:t>
      </w:r>
      <w:r w:rsidR="00FD48A2">
        <w:rPr>
          <w:rFonts w:ascii="Arial" w:eastAsia="Trebuchet MS" w:hAnsi="Arial" w:cs="Arial"/>
          <w:spacing w:val="2"/>
          <w:sz w:val="24"/>
          <w:szCs w:val="24"/>
        </w:rPr>
        <w:t>,</w:t>
      </w:r>
      <w:r>
        <w:rPr>
          <w:rFonts w:ascii="Arial" w:eastAsia="Trebuchet MS" w:hAnsi="Arial" w:cs="Arial"/>
          <w:spacing w:val="2"/>
          <w:sz w:val="24"/>
          <w:szCs w:val="24"/>
        </w:rPr>
        <w:t xml:space="preserve"> se revele sem estruturação aparente, a qual implique perda de sentido frásico/conhecimento.</w:t>
      </w:r>
    </w:p>
    <w:p w14:paraId="253A9ECA" w14:textId="4AED4467" w:rsidR="00410F74" w:rsidRDefault="00410F74" w:rsidP="003200D7">
      <w:pPr>
        <w:spacing w:before="120"/>
        <w:jc w:val="both"/>
        <w:rPr>
          <w:rFonts w:ascii="Arial" w:eastAsia="Wingdings" w:hAnsi="Arial" w:cs="Arial"/>
          <w:b/>
          <w:sz w:val="24"/>
          <w:szCs w:val="24"/>
        </w:rPr>
      </w:pPr>
      <w:r>
        <w:rPr>
          <w:rFonts w:ascii="Arial" w:eastAsia="Trebuchet MS" w:hAnsi="Arial" w:cs="Arial"/>
          <w:spacing w:val="2"/>
          <w:sz w:val="24"/>
          <w:szCs w:val="24"/>
        </w:rPr>
        <w:t>A classificação das respostas centra-se nos tópicos de referência, tendo em conta o rigor científico dos conteúdos e a organização lógico-temática das ideias expressas no texto elaborado.</w:t>
      </w:r>
    </w:p>
    <w:p w14:paraId="6321B99A" w14:textId="77777777" w:rsidR="003200D7" w:rsidRDefault="003200D7" w:rsidP="003200D7">
      <w:pPr>
        <w:spacing w:before="120"/>
        <w:jc w:val="both"/>
        <w:rPr>
          <w:rFonts w:ascii="Arial" w:eastAsia="Wingdings" w:hAnsi="Arial" w:cs="Arial"/>
          <w:b/>
          <w:sz w:val="24"/>
          <w:szCs w:val="24"/>
        </w:rPr>
      </w:pPr>
    </w:p>
    <w:p w14:paraId="54EA61C8" w14:textId="77777777" w:rsidR="00410F74" w:rsidRDefault="00410F74" w:rsidP="00410F74">
      <w:pPr>
        <w:jc w:val="both"/>
        <w:rPr>
          <w:rFonts w:ascii="Arial" w:eastAsia="Trebuchet MS" w:hAnsi="Arial" w:cs="Arial"/>
          <w:b/>
          <w:spacing w:val="2"/>
          <w:sz w:val="24"/>
          <w:szCs w:val="24"/>
        </w:rPr>
      </w:pPr>
      <w:r>
        <w:rPr>
          <w:rFonts w:ascii="Arial" w:eastAsia="Trebuchet MS" w:hAnsi="Arial" w:cs="Arial"/>
          <w:b/>
          <w:spacing w:val="2"/>
          <w:sz w:val="24"/>
          <w:szCs w:val="24"/>
        </w:rPr>
        <w:lastRenderedPageBreak/>
        <w:t>Completamento</w:t>
      </w:r>
    </w:p>
    <w:p w14:paraId="3EB60A8D" w14:textId="77777777" w:rsidR="00410F74" w:rsidRDefault="00410F74" w:rsidP="00410F74">
      <w:pPr>
        <w:jc w:val="both"/>
        <w:rPr>
          <w:rFonts w:ascii="Arial" w:eastAsia="Trebuchet MS" w:hAnsi="Arial" w:cs="Arial"/>
          <w:spacing w:val="2"/>
          <w:sz w:val="24"/>
          <w:szCs w:val="24"/>
        </w:rPr>
      </w:pPr>
      <w:r>
        <w:rPr>
          <w:rFonts w:ascii="Arial" w:eastAsia="Trebuchet MS" w:hAnsi="Arial" w:cs="Arial"/>
          <w:spacing w:val="2"/>
          <w:sz w:val="24"/>
          <w:szCs w:val="24"/>
        </w:rPr>
        <w:t>A cotação de cada item só é atribuída às respostas corretas. Todas as outras respostas serão classificadas com zero pontos.</w:t>
      </w:r>
    </w:p>
    <w:p w14:paraId="0E26E974" w14:textId="6DA6D20F" w:rsidR="002A46A2" w:rsidRDefault="002A46A2" w:rsidP="002A46A2">
      <w:pPr>
        <w:pStyle w:val="Cabealh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61D1B8E6" w14:textId="05D6B8F9" w:rsidR="00017494" w:rsidRPr="0055151F" w:rsidRDefault="002A46A2" w:rsidP="002A46A2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54F92B5E" w14:textId="7E5EBBFC" w:rsidR="00CE53EC" w:rsidRDefault="00D3585A">
      <w:pPr>
        <w:pStyle w:val="Cabealho"/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  <w:r w:rsidR="00CE53EC">
        <w:rPr>
          <w:rFonts w:ascii="Arial" w:hAnsi="Arial" w:cs="Arial"/>
          <w:b/>
          <w:bCs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B28B31F" w14:textId="0E4DB0FC" w:rsidR="00D3585A" w:rsidRDefault="00CE53EC" w:rsidP="00D3585A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002D1859" w14:textId="6E964DF1" w:rsidR="00554D35" w:rsidRPr="003D4C68" w:rsidRDefault="0060432D" w:rsidP="003D4C68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 prova tem a duração de 90 minutos.</w:t>
      </w:r>
    </w:p>
    <w:p w14:paraId="49B8A244" w14:textId="77777777" w:rsidR="006B1164" w:rsidRDefault="006B1164" w:rsidP="006B11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alunos apenas podem usar, como material de escrita, caneta ou esferográfica de tinta indelével, azul ou preta.</w:t>
      </w:r>
    </w:p>
    <w:p w14:paraId="4B35D9AE" w14:textId="6112138C" w:rsidR="006B1164" w:rsidRDefault="006B1164" w:rsidP="006B11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Não é permitido o uso de lápis, de lapiseira</w:t>
      </w:r>
      <w:r w:rsidR="005C0A0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nem de corretor.</w:t>
      </w:r>
    </w:p>
    <w:p w14:paraId="65B84997" w14:textId="183457CF" w:rsidR="008D2933" w:rsidRPr="003F2354" w:rsidRDefault="008D2933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DA6C74">
      <w:footerReference w:type="default" r:id="rId9"/>
      <w:pgSz w:w="11906" w:h="16838"/>
      <w:pgMar w:top="1440" w:right="1080" w:bottom="993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A92FB" w14:textId="77777777" w:rsidR="00874F54" w:rsidRDefault="00874F54" w:rsidP="00F374E2">
      <w:pPr>
        <w:spacing w:after="0" w:line="240" w:lineRule="auto"/>
      </w:pPr>
      <w:r>
        <w:separator/>
      </w:r>
    </w:p>
  </w:endnote>
  <w:endnote w:type="continuationSeparator" w:id="0">
    <w:p w14:paraId="3868FD93" w14:textId="77777777" w:rsidR="00874F54" w:rsidRDefault="00874F54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43741"/>
      <w:docPartObj>
        <w:docPartGallery w:val="Page Numbers (Bottom of Page)"/>
        <w:docPartUnique/>
      </w:docPartObj>
    </w:sdtPr>
    <w:sdtContent>
      <w:p w14:paraId="4F36D7B1" w14:textId="347D702B" w:rsidR="00B910EC" w:rsidRDefault="00B910E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EBF">
          <w:rPr>
            <w:noProof/>
          </w:rPr>
          <w:t>1</w:t>
        </w:r>
        <w:r>
          <w:fldChar w:fldCharType="end"/>
        </w:r>
      </w:p>
    </w:sdtContent>
  </w:sdt>
  <w:p w14:paraId="26BBBC4B" w14:textId="77777777" w:rsidR="003F2354" w:rsidRDefault="003F2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E3581" w14:textId="77777777" w:rsidR="00874F54" w:rsidRDefault="00874F54" w:rsidP="00F374E2">
      <w:pPr>
        <w:spacing w:after="0" w:line="240" w:lineRule="auto"/>
      </w:pPr>
      <w:r>
        <w:separator/>
      </w:r>
    </w:p>
  </w:footnote>
  <w:footnote w:type="continuationSeparator" w:id="0">
    <w:p w14:paraId="730A5705" w14:textId="77777777" w:rsidR="00874F54" w:rsidRDefault="00874F54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F2A41"/>
    <w:multiLevelType w:val="multilevel"/>
    <w:tmpl w:val="6354FA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10B367B"/>
    <w:multiLevelType w:val="multilevel"/>
    <w:tmpl w:val="9EF81682"/>
    <w:lvl w:ilvl="0">
      <w:start w:val="1"/>
      <w:numFmt w:val="bullet"/>
      <w:lvlText w:val=""/>
      <w:lvlJc w:val="left"/>
      <w:pPr>
        <w:tabs>
          <w:tab w:val="num" w:pos="0"/>
        </w:tabs>
        <w:ind w:left="75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D55DFB"/>
    <w:multiLevelType w:val="multilevel"/>
    <w:tmpl w:val="43E641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963CE5"/>
    <w:multiLevelType w:val="multilevel"/>
    <w:tmpl w:val="BDA2919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num w:numId="1" w16cid:durableId="896667513">
    <w:abstractNumId w:val="5"/>
  </w:num>
  <w:num w:numId="2" w16cid:durableId="389613909">
    <w:abstractNumId w:val="4"/>
  </w:num>
  <w:num w:numId="3" w16cid:durableId="434715021">
    <w:abstractNumId w:val="6"/>
  </w:num>
  <w:num w:numId="4" w16cid:durableId="1734431862">
    <w:abstractNumId w:val="7"/>
  </w:num>
  <w:num w:numId="5" w16cid:durableId="511646074">
    <w:abstractNumId w:val="0"/>
  </w:num>
  <w:num w:numId="6" w16cid:durableId="944270015">
    <w:abstractNumId w:val="3"/>
  </w:num>
  <w:num w:numId="7" w16cid:durableId="7286545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1660868">
    <w:abstractNumId w:val="2"/>
  </w:num>
  <w:num w:numId="9" w16cid:durableId="583029665">
    <w:abstractNumId w:val="8"/>
  </w:num>
  <w:num w:numId="10" w16cid:durableId="857308447">
    <w:abstractNumId w:val="10"/>
  </w:num>
  <w:num w:numId="11" w16cid:durableId="1975015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64DA"/>
    <w:rsid w:val="00017494"/>
    <w:rsid w:val="00027C85"/>
    <w:rsid w:val="000303EE"/>
    <w:rsid w:val="00042560"/>
    <w:rsid w:val="000A1AAA"/>
    <w:rsid w:val="000A6701"/>
    <w:rsid w:val="000B0FC2"/>
    <w:rsid w:val="000B171E"/>
    <w:rsid w:val="000B2B70"/>
    <w:rsid w:val="000D44B2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25DF4"/>
    <w:rsid w:val="001358C4"/>
    <w:rsid w:val="00145238"/>
    <w:rsid w:val="001562B8"/>
    <w:rsid w:val="00167CFC"/>
    <w:rsid w:val="0018009E"/>
    <w:rsid w:val="00182316"/>
    <w:rsid w:val="0019274B"/>
    <w:rsid w:val="001A0791"/>
    <w:rsid w:val="001A0C4A"/>
    <w:rsid w:val="001B5B19"/>
    <w:rsid w:val="001B6551"/>
    <w:rsid w:val="001C5E1B"/>
    <w:rsid w:val="001E1299"/>
    <w:rsid w:val="001E72E1"/>
    <w:rsid w:val="00227F03"/>
    <w:rsid w:val="0026314E"/>
    <w:rsid w:val="00280D8F"/>
    <w:rsid w:val="002824E6"/>
    <w:rsid w:val="002A3B5B"/>
    <w:rsid w:val="002A46A2"/>
    <w:rsid w:val="002B42B2"/>
    <w:rsid w:val="002E1D40"/>
    <w:rsid w:val="00301474"/>
    <w:rsid w:val="003200D7"/>
    <w:rsid w:val="00332540"/>
    <w:rsid w:val="00332F69"/>
    <w:rsid w:val="00355F24"/>
    <w:rsid w:val="00365C31"/>
    <w:rsid w:val="003A34D8"/>
    <w:rsid w:val="003D4C68"/>
    <w:rsid w:val="003E1296"/>
    <w:rsid w:val="003E6834"/>
    <w:rsid w:val="003F1E49"/>
    <w:rsid w:val="003F2354"/>
    <w:rsid w:val="003F6B2E"/>
    <w:rsid w:val="003F75CD"/>
    <w:rsid w:val="003F7CC2"/>
    <w:rsid w:val="00407FCB"/>
    <w:rsid w:val="00410F74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6D3A"/>
    <w:rsid w:val="004978E4"/>
    <w:rsid w:val="004B2765"/>
    <w:rsid w:val="004C1CBA"/>
    <w:rsid w:val="004C381A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524E"/>
    <w:rsid w:val="005A5C3A"/>
    <w:rsid w:val="005B73A0"/>
    <w:rsid w:val="005C0A00"/>
    <w:rsid w:val="005D2949"/>
    <w:rsid w:val="005F2067"/>
    <w:rsid w:val="005F293E"/>
    <w:rsid w:val="005F676D"/>
    <w:rsid w:val="0060432D"/>
    <w:rsid w:val="00610A99"/>
    <w:rsid w:val="006164F3"/>
    <w:rsid w:val="00641DFB"/>
    <w:rsid w:val="00650080"/>
    <w:rsid w:val="006644AD"/>
    <w:rsid w:val="00664B49"/>
    <w:rsid w:val="006658C8"/>
    <w:rsid w:val="006667A4"/>
    <w:rsid w:val="00673BEB"/>
    <w:rsid w:val="006825EB"/>
    <w:rsid w:val="006A3217"/>
    <w:rsid w:val="006A4B3E"/>
    <w:rsid w:val="006B1164"/>
    <w:rsid w:val="006B3A5A"/>
    <w:rsid w:val="006C17E3"/>
    <w:rsid w:val="006D0480"/>
    <w:rsid w:val="006F1196"/>
    <w:rsid w:val="006F4D50"/>
    <w:rsid w:val="00723220"/>
    <w:rsid w:val="007367C7"/>
    <w:rsid w:val="007453F7"/>
    <w:rsid w:val="00752797"/>
    <w:rsid w:val="00760016"/>
    <w:rsid w:val="007624CF"/>
    <w:rsid w:val="0076291B"/>
    <w:rsid w:val="00764B04"/>
    <w:rsid w:val="00793E44"/>
    <w:rsid w:val="007C5A87"/>
    <w:rsid w:val="007D292D"/>
    <w:rsid w:val="007E48B4"/>
    <w:rsid w:val="00802E81"/>
    <w:rsid w:val="00816983"/>
    <w:rsid w:val="008271FF"/>
    <w:rsid w:val="008700C2"/>
    <w:rsid w:val="00874F54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D757A"/>
    <w:rsid w:val="008E491E"/>
    <w:rsid w:val="008F67A4"/>
    <w:rsid w:val="009236AD"/>
    <w:rsid w:val="00930BE6"/>
    <w:rsid w:val="00937F76"/>
    <w:rsid w:val="00945ECB"/>
    <w:rsid w:val="00955169"/>
    <w:rsid w:val="00964995"/>
    <w:rsid w:val="009650CA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E4627"/>
    <w:rsid w:val="009F53E5"/>
    <w:rsid w:val="00A00EBF"/>
    <w:rsid w:val="00A01DFE"/>
    <w:rsid w:val="00A172E8"/>
    <w:rsid w:val="00A35CCB"/>
    <w:rsid w:val="00A44946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75CCF"/>
    <w:rsid w:val="00B910EC"/>
    <w:rsid w:val="00B920F5"/>
    <w:rsid w:val="00B95909"/>
    <w:rsid w:val="00BA1D4F"/>
    <w:rsid w:val="00BC00B9"/>
    <w:rsid w:val="00BC69D5"/>
    <w:rsid w:val="00BD18BD"/>
    <w:rsid w:val="00C12735"/>
    <w:rsid w:val="00C13013"/>
    <w:rsid w:val="00C203A2"/>
    <w:rsid w:val="00C22CA3"/>
    <w:rsid w:val="00C51760"/>
    <w:rsid w:val="00C530F3"/>
    <w:rsid w:val="00C56C89"/>
    <w:rsid w:val="00C64F98"/>
    <w:rsid w:val="00C6546C"/>
    <w:rsid w:val="00C66198"/>
    <w:rsid w:val="00C859EA"/>
    <w:rsid w:val="00C943DE"/>
    <w:rsid w:val="00CA712D"/>
    <w:rsid w:val="00CE2EC2"/>
    <w:rsid w:val="00CE53EC"/>
    <w:rsid w:val="00CF3C5F"/>
    <w:rsid w:val="00D04BD7"/>
    <w:rsid w:val="00D10C94"/>
    <w:rsid w:val="00D1407F"/>
    <w:rsid w:val="00D1417E"/>
    <w:rsid w:val="00D26082"/>
    <w:rsid w:val="00D32F25"/>
    <w:rsid w:val="00D3585A"/>
    <w:rsid w:val="00D459D8"/>
    <w:rsid w:val="00D476AF"/>
    <w:rsid w:val="00D67928"/>
    <w:rsid w:val="00D73C32"/>
    <w:rsid w:val="00D74BDF"/>
    <w:rsid w:val="00D80171"/>
    <w:rsid w:val="00D90B63"/>
    <w:rsid w:val="00D92A50"/>
    <w:rsid w:val="00D94E9E"/>
    <w:rsid w:val="00DA3588"/>
    <w:rsid w:val="00DA6C74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65098"/>
    <w:rsid w:val="00E7295E"/>
    <w:rsid w:val="00EB0F4D"/>
    <w:rsid w:val="00EB6987"/>
    <w:rsid w:val="00EC3E6D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8185C"/>
    <w:rsid w:val="00F86179"/>
    <w:rsid w:val="00FA6D64"/>
    <w:rsid w:val="00FB4882"/>
    <w:rsid w:val="00FB5267"/>
    <w:rsid w:val="00FB5DE7"/>
    <w:rsid w:val="00FD48A2"/>
    <w:rsid w:val="00FD68CF"/>
    <w:rsid w:val="00FF4350"/>
    <w:rsid w:val="00FF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B3364-FC0F-43F4-A5AF-FCCE78A0B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1033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Teresa Domingos</cp:lastModifiedBy>
  <cp:revision>39</cp:revision>
  <cp:lastPrinted>2018-01-09T10:34:00Z</cp:lastPrinted>
  <dcterms:created xsi:type="dcterms:W3CDTF">2025-04-01T16:41:00Z</dcterms:created>
  <dcterms:modified xsi:type="dcterms:W3CDTF">2025-05-05T19:17:00Z</dcterms:modified>
</cp:coreProperties>
</file>