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E7DA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drawing>
          <wp:inline distT="0" distB="0" distL="0" distR="0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>
      <w:pPr>
        <w:pStyle w:val="14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>
      <w:pPr>
        <w:pStyle w:val="14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Prova</w:t>
      </w:r>
    </w:p>
    <w:p w14:paraId="240CF527">
      <w:pPr>
        <w:pStyle w:val="14"/>
        <w:spacing w:line="480" w:lineRule="auto"/>
        <w:rPr>
          <w:rFonts w:hint="default" w:ascii="Arial" w:hAnsi="Arial" w:cs="Arial"/>
          <w:b/>
          <w:sz w:val="24"/>
          <w:szCs w:val="24"/>
          <w:lang w:val="pt-PT"/>
        </w:rPr>
      </w:pPr>
      <w:r>
        <w:rPr>
          <w:rFonts w:ascii="Arial" w:hAnsi="Arial" w:cs="Arial"/>
          <w:b/>
          <w:sz w:val="24"/>
          <w:szCs w:val="24"/>
        </w:rPr>
        <w:t>Disciplina:</w:t>
      </w:r>
      <w:r>
        <w:rPr>
          <w:rFonts w:hint="default" w:ascii="Arial" w:hAnsi="Arial" w:cs="Arial"/>
          <w:b/>
          <w:sz w:val="24"/>
          <w:szCs w:val="24"/>
          <w:lang w:val="pt-PT"/>
        </w:rPr>
        <w:t xml:space="preserve"> Inglês</w:t>
      </w:r>
    </w:p>
    <w:p w14:paraId="2025A55F">
      <w:pPr>
        <w:pStyle w:val="14"/>
        <w:spacing w:line="480" w:lineRule="auto"/>
        <w:rPr>
          <w:rFonts w:hint="default" w:ascii="Arial" w:hAnsi="Arial" w:cs="Arial"/>
          <w:b/>
          <w:sz w:val="24"/>
          <w:szCs w:val="24"/>
          <w:lang w:val="pt-PT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>
        <w:rPr>
          <w:rFonts w:hint="default" w:ascii="Arial" w:hAnsi="Arial" w:cs="Arial"/>
          <w:b/>
          <w:sz w:val="24"/>
          <w:szCs w:val="24"/>
          <w:lang w:val="pt-PT"/>
        </w:rPr>
        <w:t>4</w:t>
      </w:r>
    </w:p>
    <w:p w14:paraId="535AB278">
      <w:pPr>
        <w:pStyle w:val="14"/>
        <w:spacing w:line="480" w:lineRule="auto"/>
        <w:rPr>
          <w:rFonts w:hint="default" w:ascii="Arial" w:hAnsi="Arial" w:cs="Arial"/>
          <w:b/>
          <w:sz w:val="24"/>
          <w:szCs w:val="24"/>
          <w:lang w:val="pt-PT"/>
        </w:rPr>
      </w:pPr>
      <w:r>
        <w:rPr>
          <w:rFonts w:ascii="Arial" w:hAnsi="Arial" w:cs="Arial"/>
          <w:b/>
          <w:sz w:val="24"/>
          <w:szCs w:val="24"/>
        </w:rPr>
        <w:t>Curso:</w:t>
      </w:r>
      <w:r>
        <w:rPr>
          <w:rFonts w:hint="default" w:ascii="Arial" w:hAnsi="Arial" w:cs="Arial"/>
          <w:b/>
          <w:sz w:val="24"/>
          <w:szCs w:val="24"/>
          <w:lang w:val="pt-PT"/>
        </w:rPr>
        <w:t xml:space="preserve"> Técnico de Gestão Equina</w:t>
      </w:r>
    </w:p>
    <w:p w14:paraId="4C12FDCB">
      <w:pPr>
        <w:pStyle w:val="14"/>
        <w:spacing w:line="480" w:lineRule="auto"/>
        <w:rPr>
          <w:rFonts w:hint="default" w:ascii="Arial" w:hAnsi="Arial" w:cs="Arial"/>
          <w:b/>
          <w:sz w:val="24"/>
          <w:szCs w:val="24"/>
          <w:lang w:val="pt-PT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>
        <w:rPr>
          <w:rFonts w:hint="default" w:ascii="Arial" w:hAnsi="Arial" w:cs="Arial"/>
          <w:b/>
          <w:sz w:val="24"/>
          <w:szCs w:val="24"/>
          <w:lang w:val="pt-PT"/>
        </w:rPr>
        <w:t xml:space="preserve"> Escrita</w:t>
      </w:r>
    </w:p>
    <w:p w14:paraId="61699801">
      <w:pPr>
        <w:pStyle w:val="14"/>
        <w:spacing w:line="480" w:lineRule="auto"/>
        <w:rPr>
          <w:rFonts w:hint="default"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b/>
          <w:sz w:val="24"/>
          <w:szCs w:val="24"/>
        </w:rPr>
        <w:t xml:space="preserve">Número de páginas: </w:t>
      </w:r>
      <w:r>
        <w:rPr>
          <w:rFonts w:hint="default" w:ascii="Arial" w:hAnsi="Arial" w:cs="Arial"/>
          <w:b/>
          <w:sz w:val="24"/>
          <w:szCs w:val="24"/>
          <w:lang w:val="pt-PT"/>
        </w:rPr>
        <w:t>4</w:t>
      </w:r>
      <w:bookmarkStart w:id="0" w:name="_GoBack"/>
      <w:bookmarkEnd w:id="0"/>
    </w:p>
    <w:p w14:paraId="45032105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14:paraId="2F6A396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Objeto de avaliação: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BFABD2D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A prova tem por referência as aprendizagens essenciais da disciplina em vigor.</w:t>
      </w:r>
    </w:p>
    <w:p w14:paraId="44641154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A prova permite avaliar as competências linguísticas e culturais, em articulação com os conteúdos e com os conceitos específicos enunciados nas aprendizagens essenciais acima mencionadas, passíveis de avaliação em provas escrita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s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 xml:space="preserve"> de duração limitada.</w:t>
      </w:r>
    </w:p>
    <w:p w14:paraId="79DFEBDD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Na prova, é objeto de avaliação a compreensão do oral, o uso da língua, a leitura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 xml:space="preserve"> e 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>a interação/ produção escritas, enquadrados nas competências linguística, pragmática e sociolinguística.</w:t>
      </w:r>
    </w:p>
    <w:p w14:paraId="39237E17">
      <w:pPr>
        <w:widowControl/>
        <w:autoSpaceDE/>
        <w:autoSpaceDN/>
        <w:spacing w:line="360" w:lineRule="auto"/>
        <w:jc w:val="both"/>
        <w:rPr>
          <w:rFonts w:hint="default"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A demonstração destas competências envolve a mobilização dos conteúdos e estratégias definidos pelas aprendizagens essenciais, nomeadamente os das áreas de referência dos domínios socioculturais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 xml:space="preserve">, bem como </w:t>
      </w:r>
      <w:r>
        <w:rPr>
          <w:rFonts w:ascii="Trebuchet MS" w:hAnsi="Trebuchet MS"/>
          <w:color w:val="231F20"/>
          <w:sz w:val="24"/>
          <w:szCs w:val="24"/>
          <w:lang w:val="pt-PT"/>
        </w:rPr>
        <w:t>os domínios de referência assinalados no Perfil do Aluno à Saída da Escolaridade Obrigatória</w:t>
      </w:r>
      <w:r>
        <w:rPr>
          <w:rFonts w:hint="default" w:ascii="Trebuchet MS" w:hAnsi="Trebuchet MS"/>
          <w:color w:val="231F20"/>
          <w:sz w:val="24"/>
          <w:szCs w:val="24"/>
          <w:lang w:val="pt-PT"/>
        </w:rPr>
        <w:t>.</w:t>
      </w:r>
    </w:p>
    <w:p w14:paraId="44436824">
      <w:pPr>
        <w:pStyle w:val="14"/>
        <w:rPr>
          <w:rFonts w:ascii="Arial" w:hAnsi="Arial" w:cs="Arial"/>
          <w:b/>
          <w:sz w:val="24"/>
          <w:szCs w:val="24"/>
        </w:rPr>
      </w:pPr>
    </w:p>
    <w:p w14:paraId="470A0867">
      <w:pPr>
        <w:pStyle w:val="14"/>
        <w:rPr>
          <w:rFonts w:ascii="Arial" w:hAnsi="Arial" w:cs="Arial"/>
          <w:b/>
          <w:sz w:val="24"/>
          <w:szCs w:val="24"/>
        </w:rPr>
      </w:pPr>
    </w:p>
    <w:p w14:paraId="4DB567C4">
      <w:pPr>
        <w:pStyle w:val="14"/>
        <w:rPr>
          <w:rFonts w:ascii="Arial" w:hAnsi="Arial" w:cs="Arial"/>
          <w:b/>
          <w:sz w:val="24"/>
          <w:szCs w:val="24"/>
        </w:rPr>
      </w:pPr>
    </w:p>
    <w:p w14:paraId="5C1FFF60">
      <w:pPr>
        <w:pStyle w:val="14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DDC0B73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Caracterização da prova: </w:t>
      </w:r>
    </w:p>
    <w:p w14:paraId="6E716A59">
      <w:pPr>
        <w:widowControl/>
        <w:autoSpaceDE/>
        <w:autoSpaceDN/>
        <w:spacing w:line="360" w:lineRule="auto"/>
        <w:jc w:val="both"/>
        <w:rPr>
          <w:rFonts w:hint="default" w:ascii="Trebuchet MS" w:hAnsi="Trebuchet MS"/>
          <w:color w:val="000000"/>
          <w:sz w:val="24"/>
          <w:szCs w:val="24"/>
          <w:lang w:val="en-US" w:eastAsia="pt-PT"/>
        </w:rPr>
      </w:pP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 xml:space="preserve">A prova é realizada num momento único e a sua classificação é expressa na escala de 0 a 200, 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 xml:space="preserve">sendo a classificação final expressa na escala de 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0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 xml:space="preserve"> a 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20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>.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 xml:space="preserve"> </w:t>
      </w:r>
    </w:p>
    <w:p w14:paraId="64A012AF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N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este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 xml:space="preserve"> momento, são avaliados: a compreensão do oral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 xml:space="preserve"> e da escrita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>, o uso da língua e a interação e produção escritas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.</w:t>
      </w:r>
    </w:p>
    <w:p w14:paraId="1F87BE63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</w:p>
    <w:p w14:paraId="237BAF39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GRUPO A - COMPREENSÃO DO ORAL</w:t>
      </w:r>
    </w:p>
    <w:p w14:paraId="1F4C4886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Avalia-se o desempenho do examinando na compreensão do oral, tendo como suporte um ou mais textos áudio.</w:t>
      </w:r>
    </w:p>
    <w:p w14:paraId="3D7B4778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</w:p>
    <w:p w14:paraId="5B2B483F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GRUPO B - USO DA LÍNGUA E LEITURA</w:t>
      </w:r>
    </w:p>
    <w:p w14:paraId="61C36F4B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Avalia-se o desempenho do examinando no uso da língua e na leitura.</w:t>
      </w:r>
    </w:p>
    <w:p w14:paraId="458E18A2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Os itens referentes à leitura podem ter como suporte um ou mais textos.</w:t>
      </w:r>
    </w:p>
    <w:p w14:paraId="73BCF01F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</w:p>
    <w:p w14:paraId="204B9893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>GRUPO C - INTERAÇÃO E PRODUÇÃO ESCRITAS</w:t>
      </w:r>
    </w:p>
    <w:p w14:paraId="393633EE">
      <w:pPr>
        <w:widowControl/>
        <w:autoSpaceDE/>
        <w:autoSpaceDN/>
        <w:spacing w:line="360" w:lineRule="auto"/>
        <w:jc w:val="both"/>
        <w:rPr>
          <w:rFonts w:ascii="Trebuchet MS" w:hAnsi="Trebuchet MS"/>
          <w:color w:val="000000"/>
          <w:sz w:val="24"/>
          <w:szCs w:val="24"/>
          <w:lang w:val="pt-PT" w:eastAsia="pt-PT"/>
        </w:rPr>
      </w:pPr>
      <w:r>
        <w:rPr>
          <w:rFonts w:ascii="Trebuchet MS" w:hAnsi="Trebuchet MS"/>
          <w:color w:val="000000"/>
          <w:sz w:val="24"/>
          <w:szCs w:val="24"/>
          <w:lang w:val="pt-PT" w:eastAsia="pt-PT"/>
        </w:rPr>
        <w:t xml:space="preserve">Avalia-se o desempenho do examinando em duas atividades de interação/ produção escritas. O número de palavras a escrever situa-se no intervalo seguinte: </w:t>
      </w:r>
      <w:r>
        <w:rPr>
          <w:rFonts w:hint="default" w:ascii="Trebuchet MS" w:hAnsi="Trebuchet MS"/>
          <w:color w:val="000000"/>
          <w:sz w:val="24"/>
          <w:szCs w:val="24"/>
          <w:lang w:val="en-US" w:eastAsia="pt-PT"/>
        </w:rPr>
        <w:t>100-150</w:t>
      </w:r>
      <w:r>
        <w:rPr>
          <w:rFonts w:ascii="Trebuchet MS" w:hAnsi="Trebuchet MS"/>
          <w:color w:val="000000"/>
          <w:sz w:val="24"/>
          <w:szCs w:val="24"/>
          <w:lang w:val="pt-PT" w:eastAsia="pt-PT"/>
        </w:rPr>
        <w:t>.</w:t>
      </w:r>
    </w:p>
    <w:p w14:paraId="5CB7D202">
      <w:pPr>
        <w:pStyle w:val="8"/>
        <w:spacing w:after="0"/>
        <w:ind w:right="216"/>
        <w:jc w:val="both"/>
        <w:rPr>
          <w:sz w:val="20"/>
          <w:szCs w:val="20"/>
        </w:rPr>
      </w:pPr>
    </w:p>
    <w:p w14:paraId="6B5CE921">
      <w:pPr>
        <w:pStyle w:val="9"/>
        <w:spacing w:before="139"/>
        <w:ind w:left="114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A estrutura da prova escrita sintetiza-se no quadro seguinte: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4835"/>
        <w:gridCol w:w="1485"/>
      </w:tblGrid>
      <w:tr w14:paraId="621A2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369" w:type="dxa"/>
            <w:vAlign w:val="center"/>
          </w:tcPr>
          <w:p w14:paraId="113112D4">
            <w:pPr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Grupos</w:t>
            </w:r>
          </w:p>
        </w:tc>
        <w:tc>
          <w:tcPr>
            <w:tcW w:w="4835" w:type="dxa"/>
            <w:vAlign w:val="center"/>
          </w:tcPr>
          <w:p w14:paraId="01D22BF5">
            <w:pPr>
              <w:adjustRightInd w:val="0"/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pt-PT"/>
              </w:rPr>
              <w:t xml:space="preserve">Conteúdos/ </w:t>
            </w:r>
            <w:r>
              <w:rPr>
                <w:b/>
                <w:bCs/>
              </w:rPr>
              <w:t>Tipologia de itens</w:t>
            </w:r>
          </w:p>
        </w:tc>
        <w:tc>
          <w:tcPr>
            <w:tcW w:w="1485" w:type="dxa"/>
            <w:vAlign w:val="center"/>
          </w:tcPr>
          <w:p w14:paraId="267DF358">
            <w:pPr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Cotação</w:t>
            </w:r>
          </w:p>
          <w:p w14:paraId="4479471B">
            <w:pPr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(em pontos)</w:t>
            </w:r>
          </w:p>
        </w:tc>
      </w:tr>
      <w:tr w14:paraId="547CA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69" w:type="dxa"/>
            <w:vAlign w:val="center"/>
          </w:tcPr>
          <w:p w14:paraId="120FA57D">
            <w:pPr>
              <w:adjustRightInd w:val="0"/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</w:pPr>
            <w:r>
              <w:rPr>
                <w:rFonts w:hint="default" w:ascii="Trebuchet MS" w:hAnsi="Trebuchet MS"/>
                <w:color w:val="231F20"/>
                <w:sz w:val="20"/>
                <w:szCs w:val="20"/>
                <w:lang w:val="pt-PT"/>
              </w:rPr>
              <w:t>A</w:t>
            </w:r>
            <w:r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  <w:t xml:space="preserve"> - Compreensão do Oral</w:t>
            </w:r>
          </w:p>
        </w:tc>
        <w:tc>
          <w:tcPr>
            <w:tcW w:w="4835" w:type="dxa"/>
            <w:vAlign w:val="center"/>
          </w:tcPr>
          <w:p w14:paraId="3C9A8858">
            <w:pPr>
              <w:pStyle w:val="28"/>
              <w:spacing w:line="240" w:lineRule="auto"/>
              <w:ind w:right="-1321" w:rightChars="0"/>
              <w:jc w:val="left"/>
              <w:rPr>
                <w:rFonts w:hint="default"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hint="default" w:ascii="Trebuchet MS" w:hAnsi="Trebuchet MS" w:eastAsia="Arial" w:cs="Arial"/>
                <w:color w:val="231F20"/>
                <w:sz w:val="20"/>
                <w:szCs w:val="20"/>
                <w:lang w:val="pt-PT"/>
              </w:rPr>
              <w:t>Texto(s) sobre uma das áreas temáticas lecionadas.</w:t>
            </w:r>
          </w:p>
          <w:p w14:paraId="5BF4D583">
            <w:pPr>
              <w:pStyle w:val="28"/>
              <w:spacing w:line="240" w:lineRule="auto"/>
              <w:ind w:left="108" w:right="1245"/>
              <w:rPr>
                <w:rFonts w:hint="default"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</w:p>
          <w:p w14:paraId="76BC5528">
            <w:pPr>
              <w:pStyle w:val="28"/>
              <w:spacing w:line="240" w:lineRule="auto"/>
              <w:ind w:left="108" w:right="1245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ITENS DE SELEÇÃO:</w:t>
            </w:r>
          </w:p>
          <w:p w14:paraId="004B4A8E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escolha múltipla</w:t>
            </w:r>
          </w:p>
          <w:p w14:paraId="2683A7A6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661" w:firstLine="0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associação/ correspondência</w:t>
            </w:r>
          </w:p>
          <w:p w14:paraId="1BBC5845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ordenação</w:t>
            </w:r>
          </w:p>
          <w:p w14:paraId="72E48F63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 xml:space="preserve">preenchimento de espaços </w:t>
            </w:r>
          </w:p>
          <w:p w14:paraId="4EF75193">
            <w:pPr>
              <w:pStyle w:val="28"/>
              <w:numPr>
                <w:ilvl w:val="0"/>
                <w:numId w:val="0"/>
              </w:numPr>
              <w:tabs>
                <w:tab w:val="left" w:pos="246"/>
              </w:tabs>
              <w:spacing w:line="240" w:lineRule="auto"/>
              <w:ind w:left="108" w:leftChars="0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</w:p>
        </w:tc>
        <w:tc>
          <w:tcPr>
            <w:tcW w:w="1485" w:type="dxa"/>
            <w:vAlign w:val="center"/>
          </w:tcPr>
          <w:p w14:paraId="6049F801">
            <w:pPr>
              <w:adjustRightInd w:val="0"/>
              <w:jc w:val="center"/>
              <w:rPr>
                <w:rFonts w:hint="default"/>
                <w:bCs/>
                <w:lang w:val="pt-PT"/>
              </w:rPr>
            </w:pPr>
            <w:r>
              <w:rPr>
                <w:rFonts w:hint="default"/>
                <w:bCs/>
                <w:lang w:val="pt-PT"/>
              </w:rPr>
              <w:t>30</w:t>
            </w:r>
          </w:p>
        </w:tc>
      </w:tr>
      <w:tr w14:paraId="2661F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69" w:type="dxa"/>
            <w:vAlign w:val="center"/>
          </w:tcPr>
          <w:p w14:paraId="6C8380CF">
            <w:pPr>
              <w:spacing w:line="360" w:lineRule="auto"/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</w:pPr>
            <w:r>
              <w:rPr>
                <w:rFonts w:hint="default" w:ascii="Trebuchet MS" w:hAnsi="Trebuchet MS"/>
                <w:color w:val="231F20"/>
                <w:sz w:val="20"/>
                <w:szCs w:val="20"/>
                <w:lang w:val="pt-PT"/>
              </w:rPr>
              <w:t>B</w:t>
            </w:r>
            <w:r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  <w:t xml:space="preserve"> - Uso da língua e leitura</w:t>
            </w:r>
          </w:p>
        </w:tc>
        <w:tc>
          <w:tcPr>
            <w:tcW w:w="4835" w:type="dxa"/>
            <w:vAlign w:val="center"/>
          </w:tcPr>
          <w:p w14:paraId="7E44E502">
            <w:pPr>
              <w:pStyle w:val="28"/>
              <w:spacing w:line="240" w:lineRule="auto"/>
              <w:ind w:right="-1321" w:rightChars="0"/>
              <w:jc w:val="left"/>
              <w:rPr>
                <w:rFonts w:hint="default"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hint="default" w:ascii="Trebuchet MS" w:hAnsi="Trebuchet MS" w:eastAsia="Arial" w:cs="Arial"/>
                <w:color w:val="231F20"/>
                <w:sz w:val="20"/>
                <w:szCs w:val="20"/>
                <w:lang w:val="pt-PT"/>
              </w:rPr>
              <w:t>Texto(s) sobre uma das áreas temáticas lecionadas.</w:t>
            </w:r>
          </w:p>
          <w:p w14:paraId="1D5E2972">
            <w:pPr>
              <w:pStyle w:val="28"/>
              <w:spacing w:line="240" w:lineRule="auto"/>
              <w:ind w:left="108" w:right="1245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</w:p>
          <w:p w14:paraId="1DA7A2E9">
            <w:pPr>
              <w:pStyle w:val="28"/>
              <w:spacing w:line="240" w:lineRule="auto"/>
              <w:ind w:left="108" w:right="1245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 xml:space="preserve">ITENS DE SELEÇÃO: </w:t>
            </w:r>
          </w:p>
          <w:p w14:paraId="0DBC9DC2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escolha múltipla</w:t>
            </w:r>
          </w:p>
          <w:p w14:paraId="0B82DE21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661" w:firstLine="0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associação/ correspondência</w:t>
            </w:r>
          </w:p>
          <w:p w14:paraId="770C8509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ordenação</w:t>
            </w:r>
          </w:p>
          <w:p w14:paraId="4331F06C">
            <w:pPr>
              <w:pStyle w:val="28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 xml:space="preserve">preenchimento de espaços </w:t>
            </w:r>
          </w:p>
          <w:p w14:paraId="3F96003C">
            <w:pPr>
              <w:pStyle w:val="28"/>
              <w:spacing w:line="240" w:lineRule="auto"/>
              <w:ind w:left="108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</w:p>
          <w:p w14:paraId="12372C6D">
            <w:pPr>
              <w:pStyle w:val="28"/>
              <w:spacing w:line="240" w:lineRule="auto"/>
              <w:ind w:left="108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ITENS DE CONSTRUÇÃO:</w:t>
            </w:r>
          </w:p>
          <w:p w14:paraId="1F1AB066">
            <w:pPr>
              <w:pStyle w:val="28"/>
              <w:numPr>
                <w:ilvl w:val="0"/>
                <w:numId w:val="2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bCs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resposta curta</w:t>
            </w:r>
          </w:p>
          <w:p w14:paraId="2B1C3AAC">
            <w:pPr>
              <w:pStyle w:val="28"/>
              <w:numPr>
                <w:ilvl w:val="0"/>
                <w:numId w:val="2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bCs/>
              </w:rPr>
            </w:pPr>
            <w:r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  <w:t>resposta restrita</w:t>
            </w:r>
          </w:p>
        </w:tc>
        <w:tc>
          <w:tcPr>
            <w:tcW w:w="1485" w:type="dxa"/>
            <w:vAlign w:val="center"/>
          </w:tcPr>
          <w:p w14:paraId="5AF92739">
            <w:pPr>
              <w:adjustRightInd w:val="0"/>
              <w:jc w:val="center"/>
              <w:rPr>
                <w:rFonts w:hint="default"/>
                <w:bCs/>
                <w:lang w:val="pt-PT"/>
              </w:rPr>
            </w:pPr>
            <w:r>
              <w:rPr>
                <w:rFonts w:hint="default"/>
                <w:bCs/>
                <w:lang w:val="pt-PT"/>
              </w:rPr>
              <w:t>120</w:t>
            </w:r>
          </w:p>
        </w:tc>
      </w:tr>
      <w:tr w14:paraId="0FAC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69" w:type="dxa"/>
            <w:vAlign w:val="center"/>
          </w:tcPr>
          <w:p w14:paraId="66C7BCD8">
            <w:pPr>
              <w:spacing w:line="360" w:lineRule="auto"/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</w:pPr>
            <w:r>
              <w:rPr>
                <w:rFonts w:hint="default" w:ascii="Trebuchet MS" w:hAnsi="Trebuchet MS"/>
                <w:color w:val="231F20"/>
                <w:sz w:val="20"/>
                <w:szCs w:val="20"/>
                <w:lang w:val="pt-PT"/>
              </w:rPr>
              <w:t>C</w:t>
            </w:r>
            <w:r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  <w:t xml:space="preserve"> - Produção e interação escritas </w:t>
            </w:r>
          </w:p>
        </w:tc>
        <w:tc>
          <w:tcPr>
            <w:tcW w:w="4835" w:type="dxa"/>
            <w:vAlign w:val="center"/>
          </w:tcPr>
          <w:p w14:paraId="3824CB44">
            <w:pPr>
              <w:pStyle w:val="28"/>
              <w:spacing w:line="240" w:lineRule="auto"/>
              <w:ind w:left="108"/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</w:pPr>
            <w:r>
              <w:rPr>
                <w:rFonts w:ascii="Trebuchet MS" w:hAnsi="Trebuchet MS" w:eastAsia="Arial" w:cs="Arial"/>
                <w:color w:val="231F20"/>
                <w:sz w:val="20"/>
                <w:szCs w:val="20"/>
                <w:lang w:val="pt-PT"/>
              </w:rPr>
              <w:t>ITENS DE CONSTRUÇÃO:</w:t>
            </w:r>
          </w:p>
          <w:p w14:paraId="5C80AC65">
            <w:pPr>
              <w:pStyle w:val="28"/>
              <w:numPr>
                <w:ilvl w:val="0"/>
                <w:numId w:val="2"/>
              </w:numPr>
              <w:tabs>
                <w:tab w:val="left" w:pos="246"/>
              </w:tabs>
              <w:spacing w:line="240" w:lineRule="auto"/>
              <w:ind w:left="246" w:hanging="138"/>
              <w:jc w:val="left"/>
              <w:rPr>
                <w:bCs/>
              </w:rPr>
            </w:pPr>
            <w:r>
              <w:rPr>
                <w:rFonts w:ascii="Trebuchet MS" w:hAnsi="Trebuchet MS"/>
                <w:color w:val="231F20"/>
                <w:sz w:val="20"/>
                <w:szCs w:val="20"/>
                <w:lang w:val="pt-PT"/>
              </w:rPr>
              <w:t>resposta extensa</w:t>
            </w:r>
          </w:p>
        </w:tc>
        <w:tc>
          <w:tcPr>
            <w:tcW w:w="1485" w:type="dxa"/>
            <w:vAlign w:val="center"/>
          </w:tcPr>
          <w:p w14:paraId="1AC7C23F">
            <w:pPr>
              <w:adjustRightInd w:val="0"/>
              <w:jc w:val="center"/>
              <w:rPr>
                <w:rFonts w:hint="default"/>
                <w:bCs/>
                <w:lang w:val="pt-PT"/>
              </w:rPr>
            </w:pPr>
            <w:r>
              <w:rPr>
                <w:rFonts w:hint="default"/>
                <w:bCs/>
                <w:lang w:val="pt-PT"/>
              </w:rPr>
              <w:t>50</w:t>
            </w:r>
          </w:p>
        </w:tc>
      </w:tr>
    </w:tbl>
    <w:p w14:paraId="6AA71654">
      <w:pPr>
        <w:pStyle w:val="8"/>
        <w:spacing w:after="0"/>
        <w:ind w:right="216"/>
        <w:jc w:val="both"/>
        <w:rPr>
          <w:sz w:val="20"/>
          <w:szCs w:val="20"/>
        </w:rPr>
      </w:pPr>
    </w:p>
    <w:p w14:paraId="580DBE56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Critérios gerais de classificação: </w:t>
      </w:r>
    </w:p>
    <w:p w14:paraId="1CCBC8D5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A classificação a atribuir a cada resposta resulta da aplicação dos critérios gerais e dos critérios específicos apresentados para cada item e é expressa por um número inteiro.</w:t>
      </w:r>
    </w:p>
    <w:p w14:paraId="2A191197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 xml:space="preserve">Todos os itens apresentam critérios específicos de classificação organizados por níveis de desempenho. A cada um desses níveis é atribuída uma única pontuação. </w:t>
      </w:r>
    </w:p>
    <w:p w14:paraId="4BFC6188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A classificação a atribuir a cada resposta deverá ter em conta a compreensão do texto oral, as competências comunicativas (linguística, pragmática e sociolinguística) demonstradas na utilização de estruturas corretas e vocabulário apropriado.</w:t>
      </w:r>
    </w:p>
    <w:p w14:paraId="4D72A0A1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</w:p>
    <w:p w14:paraId="35C88A67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</w:p>
    <w:p w14:paraId="4E38B38E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Critérios de desvalorização:</w:t>
      </w:r>
    </w:p>
    <w:p w14:paraId="7EAC5583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As respostas ilegíveis ou que não possam ser claramente identificadas são classificadas com zero pontos.</w:t>
      </w:r>
    </w:p>
    <w:p w14:paraId="5333AC66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Nos itens de seleção, qualquer resposta indicada de forma equívoca, por exemplo, fornecendo mais elementos do que o(s) pedido(s), é classificada com zero pontos.</w:t>
      </w:r>
    </w:p>
    <w:p w14:paraId="367AD657">
      <w:pPr>
        <w:adjustRightInd w:val="0"/>
        <w:spacing w:line="360" w:lineRule="auto"/>
        <w:jc w:val="both"/>
        <w:rPr>
          <w:rFonts w:ascii="Trebuchet MS" w:hAnsi="Trebuchet MS"/>
          <w:color w:val="231F20"/>
          <w:sz w:val="24"/>
          <w:szCs w:val="24"/>
          <w:lang w:val="pt-PT"/>
        </w:rPr>
      </w:pPr>
      <w:r>
        <w:rPr>
          <w:rFonts w:ascii="Trebuchet MS" w:hAnsi="Trebuchet MS"/>
          <w:color w:val="231F20"/>
          <w:sz w:val="24"/>
          <w:szCs w:val="24"/>
          <w:lang w:val="pt-PT"/>
        </w:rPr>
        <w:t>Nos itens de construção, é atribuída a classificação de zero pontos a respostas que não correspondam ao solicitado, independentemente da qualidade do texto produzido, nomeadamente na tarefa final, onde a competência linguística só é avaliada se o examinando tiver tratado o tema proposto e se tiver obtido, pelo menos, a classificação mínima na competência pragmática.</w:t>
      </w:r>
    </w:p>
    <w:p w14:paraId="0E26E974">
      <w:pPr>
        <w:pStyle w:val="14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1D1B8E6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54F92B5E">
      <w:pPr>
        <w:pStyle w:val="14"/>
      </w:pPr>
      <w:r>
        <w:rPr>
          <w:rFonts w:ascii="Arial" w:hAnsi="Arial" w:cs="Arial"/>
          <w:b/>
          <w:bCs/>
          <w:sz w:val="24"/>
          <w:szCs w:val="24"/>
        </w:rPr>
        <w:t xml:space="preserve">Duração da Prova e material autorizado: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227F058B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 prova tem a duração de 90 minutos.</w:t>
      </w:r>
    </w:p>
    <w:p w14:paraId="65B8499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 aluno apenas pode usar, como material de escrita, caneta ou esferográfica de tinta indelével, azul ou preta. Não é permitida a consulta de dicionário. Não é permitido o uso de corretor.</w:t>
      </w:r>
    </w:p>
    <w:sectPr>
      <w:footerReference r:id="rId5" w:type="default"/>
      <w:pgSz w:w="11906" w:h="16838"/>
      <w:pgMar w:top="1440" w:right="1080" w:bottom="1440" w:left="1080" w:header="708" w:footer="397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1543741"/>
      <w:docPartObj>
        <w:docPartGallery w:val="AutoText"/>
      </w:docPartObj>
    </w:sdtPr>
    <w:sdtContent>
      <w:p w14:paraId="4F36D7B1">
        <w:pPr>
          <w:pStyle w:val="13"/>
          <w:jc w:val="right"/>
        </w:pPr>
        <w:r>
          <w:drawing>
            <wp:inline distT="0" distB="0" distL="0" distR="0">
              <wp:extent cx="6188710" cy="645795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m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6BBBC4B">
    <w:pPr>
      <w:pStyle w:val="1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263DBE"/>
    <w:multiLevelType w:val="multilevel"/>
    <w:tmpl w:val="08263DBE"/>
    <w:lvl w:ilvl="0" w:tentative="0">
      <w:start w:val="0"/>
      <w:numFmt w:val="bullet"/>
      <w:lvlText w:val="•"/>
      <w:lvlJc w:val="left"/>
      <w:pPr>
        <w:ind w:left="247" w:hanging="140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455" w:hanging="1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671" w:hanging="1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887" w:hanging="1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1103" w:hanging="1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1319" w:hanging="1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1535" w:hanging="1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1751" w:hanging="1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1967" w:hanging="140"/>
      </w:pPr>
      <w:rPr>
        <w:rFonts w:hint="default"/>
        <w:lang w:val="pt-PT" w:eastAsia="en-US" w:bidi="ar-SA"/>
      </w:rPr>
    </w:lvl>
  </w:abstractNum>
  <w:abstractNum w:abstractNumId="1">
    <w:nsid w:val="436F4A6B"/>
    <w:multiLevelType w:val="multilevel"/>
    <w:tmpl w:val="436F4A6B"/>
    <w:lvl w:ilvl="0" w:tentative="0">
      <w:start w:val="0"/>
      <w:numFmt w:val="bullet"/>
      <w:lvlText w:val="•"/>
      <w:lvlJc w:val="left"/>
      <w:pPr>
        <w:ind w:left="108" w:hanging="139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329" w:hanging="139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559" w:hanging="139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789" w:hanging="139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1019" w:hanging="139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1249" w:hanging="139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1479" w:hanging="139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1709" w:hanging="139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1939" w:hanging="139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6642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8634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  <w:rsid w:val="4658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pt-PT" w:eastAsia="pt-PT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footnote reference"/>
    <w:basedOn w:val="2"/>
    <w:semiHidden/>
    <w:unhideWhenUsed/>
    <w:uiPriority w:val="99"/>
    <w:rPr>
      <w:vertAlign w:val="superscript"/>
    </w:rPr>
  </w:style>
  <w:style w:type="character" w:styleId="6">
    <w:name w:val="annotation reference"/>
    <w:basedOn w:val="2"/>
    <w:semiHidden/>
    <w:unhideWhenUsed/>
    <w:uiPriority w:val="99"/>
    <w:rPr>
      <w:sz w:val="16"/>
      <w:szCs w:val="16"/>
    </w:rPr>
  </w:style>
  <w:style w:type="paragraph" w:styleId="7">
    <w:name w:val="annotation text"/>
    <w:basedOn w:val="1"/>
    <w:link w:val="21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8">
    <w:name w:val="Body Text 3"/>
    <w:basedOn w:val="1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9">
    <w:name w:val="Body Text"/>
    <w:basedOn w:val="1"/>
    <w:link w:val="23"/>
    <w:uiPriority w:val="0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10">
    <w:name w:val="annotation subject"/>
    <w:basedOn w:val="7"/>
    <w:next w:val="7"/>
    <w:link w:val="22"/>
    <w:semiHidden/>
    <w:unhideWhenUsed/>
    <w:uiPriority w:val="99"/>
    <w:rPr>
      <w:b/>
      <w:bCs/>
    </w:rPr>
  </w:style>
  <w:style w:type="paragraph" w:styleId="11">
    <w:name w:val="Balloon Text"/>
    <w:basedOn w:val="1"/>
    <w:link w:val="1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footnote text"/>
    <w:basedOn w:val="1"/>
    <w:link w:val="24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3">
    <w:name w:val="footer"/>
    <w:basedOn w:val="1"/>
    <w:link w:val="16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4">
    <w:name w:val="header"/>
    <w:basedOn w:val="1"/>
    <w:link w:val="20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table" w:styleId="1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Rodapé Caráter"/>
    <w:basedOn w:val="2"/>
    <w:link w:val="13"/>
    <w:qFormat/>
    <w:uiPriority w:val="99"/>
    <w:rPr>
      <w:rFonts w:ascii="Calibri" w:hAnsi="Calibri" w:eastAsia="Times New Roman" w:cs="Times New Roman"/>
      <w:lang w:eastAsia="pt-PT"/>
    </w:rPr>
  </w:style>
  <w:style w:type="paragraph" w:customStyle="1" w:styleId="17">
    <w:name w:val="Avanço de corpo de texto 22"/>
    <w:basedOn w:val="1"/>
    <w:uiPriority w:val="0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18">
    <w:name w:val="Parágrafo da Lista1"/>
    <w:basedOn w:val="1"/>
    <w:qFormat/>
    <w:uiPriority w:val="34"/>
    <w:pPr>
      <w:spacing w:after="0"/>
      <w:ind w:left="720"/>
      <w:contextualSpacing/>
      <w:jc w:val="both"/>
    </w:pPr>
    <w:rPr>
      <w:rFonts w:eastAsia="Calibri"/>
      <w:lang w:eastAsia="en-US"/>
    </w:rPr>
  </w:style>
  <w:style w:type="character" w:customStyle="1" w:styleId="19">
    <w:name w:val="Texto de balão Caráter"/>
    <w:basedOn w:val="2"/>
    <w:link w:val="11"/>
    <w:semiHidden/>
    <w:uiPriority w:val="99"/>
    <w:rPr>
      <w:rFonts w:ascii="Tahoma" w:hAnsi="Tahoma" w:eastAsia="Times New Roman" w:cs="Tahoma"/>
      <w:sz w:val="16"/>
      <w:szCs w:val="16"/>
      <w:lang w:eastAsia="pt-PT"/>
    </w:rPr>
  </w:style>
  <w:style w:type="character" w:customStyle="1" w:styleId="20">
    <w:name w:val="Cabeçalho Caráter"/>
    <w:basedOn w:val="2"/>
    <w:link w:val="14"/>
    <w:uiPriority w:val="99"/>
    <w:rPr>
      <w:rFonts w:ascii="Calibri" w:hAnsi="Calibri" w:eastAsia="Times New Roman" w:cs="Times New Roman"/>
      <w:lang w:eastAsia="pt-PT"/>
    </w:rPr>
  </w:style>
  <w:style w:type="character" w:customStyle="1" w:styleId="21">
    <w:name w:val="Texto de comentário Caráter"/>
    <w:basedOn w:val="2"/>
    <w:link w:val="7"/>
    <w:semiHidden/>
    <w:uiPriority w:val="99"/>
    <w:rPr>
      <w:rFonts w:ascii="Calibri" w:hAnsi="Calibri" w:eastAsia="Times New Roman" w:cs="Times New Roman"/>
      <w:sz w:val="20"/>
      <w:szCs w:val="20"/>
      <w:lang w:eastAsia="pt-PT"/>
    </w:rPr>
  </w:style>
  <w:style w:type="character" w:customStyle="1" w:styleId="22">
    <w:name w:val="Assunto de comentário Caráter"/>
    <w:basedOn w:val="21"/>
    <w:link w:val="10"/>
    <w:semiHidden/>
    <w:uiPriority w:val="99"/>
    <w:rPr>
      <w:rFonts w:ascii="Calibri" w:hAnsi="Calibri" w:eastAsia="Times New Roman" w:cs="Times New Roman"/>
      <w:b/>
      <w:bCs/>
      <w:sz w:val="20"/>
      <w:szCs w:val="20"/>
      <w:lang w:eastAsia="pt-PT"/>
    </w:rPr>
  </w:style>
  <w:style w:type="character" w:customStyle="1" w:styleId="23">
    <w:name w:val="Corpo de texto Caráter"/>
    <w:basedOn w:val="2"/>
    <w:link w:val="9"/>
    <w:uiPriority w:val="0"/>
    <w:rPr>
      <w:rFonts w:ascii="Times New Roman" w:hAnsi="Times New Roman" w:eastAsia="Times New Roman" w:cs="Times New Roman"/>
      <w:sz w:val="24"/>
      <w:szCs w:val="24"/>
      <w:lang w:eastAsia="pt-PT"/>
    </w:rPr>
  </w:style>
  <w:style w:type="character" w:customStyle="1" w:styleId="24">
    <w:name w:val="Texto de nota de rodapé Caráter"/>
    <w:basedOn w:val="2"/>
    <w:link w:val="12"/>
    <w:semiHidden/>
    <w:uiPriority w:val="99"/>
    <w:rPr>
      <w:rFonts w:ascii="Calibri" w:hAnsi="Calibri" w:eastAsia="Times New Roman" w:cs="Times New Roman"/>
      <w:sz w:val="20"/>
      <w:szCs w:val="20"/>
      <w:lang w:eastAsia="pt-PT"/>
    </w:rPr>
  </w:style>
  <w:style w:type="paragraph" w:styleId="25">
    <w:name w:val="List Paragraph"/>
    <w:basedOn w:val="1"/>
    <w:qFormat/>
    <w:uiPriority w:val="0"/>
    <w:pPr>
      <w:ind w:left="720"/>
      <w:contextualSpacing/>
    </w:pPr>
  </w:style>
  <w:style w:type="paragraph" w:customStyle="1" w:styleId="26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HAnsi"/>
      <w:color w:val="000000"/>
      <w:sz w:val="24"/>
      <w:szCs w:val="24"/>
      <w:lang w:val="pt-PT" w:eastAsia="en-US" w:bidi="ar-SA"/>
    </w:rPr>
  </w:style>
  <w:style w:type="paragraph" w:customStyle="1" w:styleId="27">
    <w:name w:val="Standard"/>
    <w:uiPriority w:val="0"/>
    <w:pPr>
      <w:suppressAutoHyphens/>
      <w:autoSpaceDN w:val="0"/>
      <w:spacing w:after="200" w:line="276" w:lineRule="auto"/>
    </w:pPr>
    <w:rPr>
      <w:rFonts w:ascii="Calibri" w:hAnsi="Calibri" w:eastAsia="Times New Roman" w:cs="Times New Roman"/>
      <w:kern w:val="3"/>
      <w:sz w:val="22"/>
      <w:szCs w:val="22"/>
      <w:lang w:val="pt-PT" w:eastAsia="pt-PT" w:bidi="ar-SA"/>
    </w:rPr>
  </w:style>
  <w:style w:type="paragraph" w:customStyle="1" w:styleId="28">
    <w:name w:val="Table Paragraph"/>
    <w:basedOn w:val="1"/>
    <w:qFormat/>
    <w:uiPriority w:val="1"/>
    <w:pPr>
      <w:spacing w:line="222" w:lineRule="exact"/>
      <w:jc w:val="center"/>
    </w:pPr>
    <w:rPr>
      <w:rFonts w:ascii="Arial Black" w:hAnsi="Arial Black" w:eastAsia="Arial Black" w:cs="Arial Black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M. E. - GEPE</Company>
  <Pages>4</Pages>
  <Words>84</Words>
  <Characters>458</Characters>
  <Lines>3</Lines>
  <Paragraphs>1</Paragraphs>
  <TotalTime>0</TotalTime>
  <ScaleCrop>false</ScaleCrop>
  <LinksUpToDate>false</LinksUpToDate>
  <CharactersWithSpaces>541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2025-05-12T11:52:00Z</dcterms:created>
  <dc:creator>alunox</dc:creator>
  <cp:lastModifiedBy>Ana Ribeiro</cp:lastModifiedBy>
  <cp:lastPrinted>2018-01-09T10:34:00Z</cp:lastPrinted>
  <dcterms:modified xsi:type="dcterms:W3CDTF">2025-05-16T08:11:43Z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2070-12.2.0.20795</vt:lpwstr>
  </property>
  <property fmtid="{D5CDD505-2E9C-101B-9397-08002B2CF9AE}" pid="3" name="ICV">
    <vt:lpwstr>B6848010FBEB4D73AD4BBA579DB1FBB9_13</vt:lpwstr>
  </property>
</Properties>
</file>